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B6C4" w14:textId="77777777" w:rsidR="00204FBF" w:rsidRDefault="00576701" w:rsidP="00204FBF">
      <w:pPr>
        <w:jc w:val="center"/>
        <w:rPr>
          <w:b/>
          <w:bCs/>
          <w:sz w:val="30"/>
          <w:szCs w:val="30"/>
        </w:rPr>
      </w:pPr>
      <w:r w:rsidRPr="00576701">
        <w:rPr>
          <w:rFonts w:ascii="Times New Roman" w:hAnsi="Times New Roman"/>
          <w:b/>
          <w:bCs/>
          <w:sz w:val="30"/>
          <w:szCs w:val="30"/>
        </w:rPr>
        <w:t>U</w:t>
      </w:r>
      <w:r w:rsidRPr="00576701">
        <w:rPr>
          <w:b/>
          <w:bCs/>
          <w:sz w:val="30"/>
          <w:szCs w:val="30"/>
        </w:rPr>
        <w:t xml:space="preserve">NIVERSAL PRINCIPLES OF CAPITAL MARKETS, MONETARY POLICY AND CROSS BORDER </w:t>
      </w:r>
    </w:p>
    <w:p w14:paraId="1245CB90" w14:textId="77777777" w:rsidR="00204FBF" w:rsidRDefault="00576701" w:rsidP="00204FBF">
      <w:pPr>
        <w:jc w:val="center"/>
        <w:rPr>
          <w:rFonts w:ascii="Times New Roman" w:hAnsi="Times New Roman"/>
          <w:b/>
          <w:bCs/>
          <w:sz w:val="30"/>
          <w:szCs w:val="30"/>
        </w:rPr>
      </w:pPr>
      <w:r w:rsidRPr="00576701">
        <w:rPr>
          <w:b/>
          <w:bCs/>
          <w:sz w:val="30"/>
          <w:szCs w:val="30"/>
        </w:rPr>
        <w:t xml:space="preserve">INVESTMENT </w:t>
      </w:r>
      <w:r w:rsidR="00204FBF">
        <w:rPr>
          <w:rFonts w:ascii="Times New Roman" w:hAnsi="Times New Roman"/>
          <w:b/>
          <w:bCs/>
          <w:sz w:val="30"/>
          <w:szCs w:val="30"/>
        </w:rPr>
        <w:t>DISCIPLINE</w:t>
      </w:r>
    </w:p>
    <w:p w14:paraId="1A9F0BE3" w14:textId="77777777" w:rsidR="00204FBF" w:rsidRDefault="00204FBF" w:rsidP="00204FBF">
      <w:pPr>
        <w:jc w:val="center"/>
      </w:pPr>
    </w:p>
    <w:p w14:paraId="5DFDB49E" w14:textId="6297BC42" w:rsidR="003A5ED8" w:rsidRPr="003A5ED8" w:rsidRDefault="00000000" w:rsidP="00204FBF">
      <w:pPr>
        <w:jc w:val="center"/>
        <w:rPr>
          <w:rFonts w:ascii="Times New Roman" w:hAnsi="Times New Roman"/>
        </w:rPr>
      </w:pPr>
      <w:r w:rsidRPr="003A5ED8">
        <w:t>A</w:t>
      </w:r>
      <w:r w:rsidR="003A5ED8" w:rsidRPr="003A5ED8">
        <w:rPr>
          <w:rFonts w:ascii="Times New Roman" w:hAnsi="Times New Roman"/>
        </w:rPr>
        <w:t>dityo Permana</w:t>
      </w:r>
    </w:p>
    <w:p w14:paraId="79B7AC20" w14:textId="77777777" w:rsidR="003A5ED8" w:rsidRPr="003A5ED8" w:rsidRDefault="003A5ED8" w:rsidP="00204FBF">
      <w:pPr>
        <w:jc w:val="center"/>
        <w:rPr>
          <w:rFonts w:ascii="Times New Roman" w:hAnsi="Times New Roman"/>
          <w:i/>
          <w:iCs/>
        </w:rPr>
      </w:pPr>
      <w:r w:rsidRPr="003A5ED8">
        <w:rPr>
          <w:rFonts w:ascii="Times New Roman" w:hAnsi="Times New Roman"/>
          <w:i/>
          <w:iCs/>
        </w:rPr>
        <w:t>Pelita Harapan University</w:t>
      </w:r>
    </w:p>
    <w:p w14:paraId="16533D91" w14:textId="2AD304A5" w:rsidR="003A5ED8" w:rsidRPr="003A5ED8" w:rsidRDefault="00346A9E" w:rsidP="00204FBF">
      <w:pPr>
        <w:jc w:val="center"/>
        <w:rPr>
          <w:i/>
          <w:iCs/>
        </w:rPr>
      </w:pPr>
      <w:r>
        <w:rPr>
          <w:rFonts w:ascii="Times New Roman" w:hAnsi="Times New Roman"/>
          <w:i/>
          <w:iCs/>
        </w:rPr>
        <w:t>pe</w:t>
      </w:r>
      <w:r w:rsidR="003A5ED8" w:rsidRPr="003A5ED8">
        <w:rPr>
          <w:rFonts w:ascii="Times New Roman" w:hAnsi="Times New Roman"/>
          <w:i/>
          <w:iCs/>
        </w:rPr>
        <w:t>rmana.adityo@gmail.com</w:t>
      </w:r>
    </w:p>
    <w:p w14:paraId="09597B56" w14:textId="77777777" w:rsidR="00204FBF" w:rsidRDefault="00204FBF">
      <w:pPr>
        <w:spacing w:after="160"/>
        <w:rPr>
          <w:b/>
          <w:bCs/>
          <w:sz w:val="26"/>
          <w:szCs w:val="26"/>
        </w:rPr>
      </w:pPr>
    </w:p>
    <w:p w14:paraId="5E71ECA0" w14:textId="721E240A" w:rsidR="007A0AA1" w:rsidRDefault="00000000" w:rsidP="00C875B2">
      <w:r>
        <w:rPr>
          <w:b/>
          <w:bCs/>
          <w:sz w:val="26"/>
          <w:szCs w:val="26"/>
        </w:rPr>
        <w:t>Abstract</w:t>
      </w:r>
    </w:p>
    <w:p w14:paraId="5F82AB67" w14:textId="32F68568" w:rsidR="00C875B2" w:rsidRPr="00C875B2" w:rsidRDefault="00000000" w:rsidP="00C875B2">
      <w:pPr>
        <w:jc w:val="both"/>
        <w:rPr>
          <w:i/>
          <w:iCs/>
        </w:rPr>
      </w:pPr>
      <w:r>
        <w:rPr>
          <w:i/>
          <w:iCs/>
        </w:rPr>
        <w:t>This article examines the capital market as a philosophical object before it is examined as a trading venue, arguing that its logic is universal precisely because its participants routinely cross territorial lines. Employing a conceptual and juridical method that draws on classical philosophy, monetary economics, and company law, the discussion traces how securities function as a bridge for foreign investors, how cheap money originating from Japanese interest-rate policy propagates into emerging markets through the carry trade, and how commodity prices, currency values, and central bank credibility interact as a single triangle. The article further treats dividends as the clearest juridical evidence that a company's reported profit has reached its rightful owners, distinguishing a genuine payout from profit diverted through inflated procurement, executive compensation, or unwarranted operational cost. A practical doctrine is proposed in which trading is confined to one per cent of total equity and undertaken chiefly during a confirmed uptrend, while investing commits ninety-nine per cent of equity to issuers offering a dividend yield above seven per cent whose share price sits at a six- to twelve-month low without genuine deterioration in fundamentals. The article concludes that contrarian composure, exercised against the pull of fomo, and legal accountability through dividends together form the foundation of a durable, cross-territorial investment philosophy. Latin economic adages and the doctrines of philosophers, economists, and investors across several centuries are used throughout to anchor the argument in a continuous intellectual tradition. The review is conceptual rather than empirical, and its contribution lies in synthesising dispersed doctrines into a single coherent framework for prudent cross-border conduct.</w:t>
      </w:r>
    </w:p>
    <w:p w14:paraId="46C93A6F" w14:textId="6958D76E" w:rsidR="007A0AA1" w:rsidRPr="00253901" w:rsidRDefault="00000000" w:rsidP="00C875B2">
      <w:pPr>
        <w:rPr>
          <w:i/>
          <w:iCs/>
        </w:rPr>
      </w:pPr>
      <w:r w:rsidRPr="00253901">
        <w:rPr>
          <w:b/>
          <w:bCs/>
          <w:i/>
          <w:iCs/>
        </w:rPr>
        <w:t xml:space="preserve">Keywords: </w:t>
      </w:r>
      <w:r w:rsidRPr="00253901">
        <w:rPr>
          <w:i/>
          <w:iCs/>
        </w:rPr>
        <w:t xml:space="preserve">capital market philosophy; securities and foreign investment; central bank credibility; dividend policy; contrarian investing; monetary policy transmission; exchange rate </w:t>
      </w:r>
      <w:r w:rsidR="00253901">
        <w:rPr>
          <w:rFonts w:ascii="Times New Roman" w:hAnsi="Times New Roman"/>
          <w:i/>
          <w:iCs/>
        </w:rPr>
        <w:t>risk.</w:t>
      </w:r>
    </w:p>
    <w:p w14:paraId="30D39D00" w14:textId="77777777" w:rsidR="007A0AA1" w:rsidRDefault="00000000">
      <w:pPr>
        <w:spacing w:before="360" w:after="200"/>
      </w:pPr>
      <w:r>
        <w:rPr>
          <w:b/>
          <w:bCs/>
          <w:sz w:val="26"/>
          <w:szCs w:val="26"/>
        </w:rPr>
        <w:t>1. Introduction</w:t>
      </w:r>
    </w:p>
    <w:p w14:paraId="413AD953" w14:textId="77777777" w:rsidR="007A0AA1" w:rsidRDefault="00000000">
      <w:pPr>
        <w:spacing w:after="200" w:line="360" w:lineRule="auto"/>
        <w:jc w:val="both"/>
      </w:pPr>
      <w:r>
        <w:t xml:space="preserve">Capital markets do not belong to any single sovereign territory, since the instruments traded within them are constructed precisely to travel wherever confidence, capital, and calculation permit. A share issued on the Indonesia Stock Exchange may rest overnight in a custodian ledger in Tokyo, London, or New York, and its price still answers to signals broadcast from </w:t>
      </w:r>
      <w:r>
        <w:lastRenderedPageBreak/>
        <w:t xml:space="preserve">Washington, Beijing, and Frankfurt. This borderless character compels a serious inquiry into capital markets to begin from philosophy before technique, since a method without a coherent worldview collapses the instant conditions shift. The Roman jurists already understood movable wealth as a thing that recognises no fatherland, and their maxim </w:t>
      </w:r>
      <w:r>
        <w:rPr>
          <w:i/>
          <w:iCs/>
        </w:rPr>
        <w:t>ubi bene ibi patria</w:t>
      </w:r>
      <w:r>
        <w:t xml:space="preserve">, where it is well, there is one's fatherland, describes the psychology of capital with uncomfortable accuracy. Aristotle warned in the </w:t>
      </w:r>
      <w:r>
        <w:rPr>
          <w:i/>
          <w:iCs/>
        </w:rPr>
        <w:t>Politics</w:t>
      </w:r>
      <w:r>
        <w:t xml:space="preserve"> that </w:t>
      </w:r>
      <w:r>
        <w:rPr>
          <w:i/>
          <w:iCs/>
        </w:rPr>
        <w:t>chrematistike</w:t>
      </w:r>
      <w:r>
        <w:t xml:space="preserve">, the art of acquiring wealth for its own sake, tends to detach itself from </w:t>
      </w:r>
      <w:r>
        <w:rPr>
          <w:i/>
          <w:iCs/>
        </w:rPr>
        <w:t>oikonomia</w:t>
      </w:r>
      <w:r>
        <w:t>, the management of a household for genuine need, and that warning remains the quiet conscience beneath every modern exchange</w:t>
      </w:r>
      <w:r>
        <w:rPr>
          <w:rStyle w:val="FootnoteReference"/>
        </w:rPr>
        <w:footnoteReference w:id="1"/>
      </w:r>
      <w:r>
        <w:t>. Adam Smith later reframed the same tension by showing that self-interest, disciplined by competition and law, can serve a common good that no single actor intended, a claim that still underwrites the legitimacy of open markets</w:t>
      </w:r>
      <w:r>
        <w:rPr>
          <w:rStyle w:val="FootnoteReference"/>
        </w:rPr>
        <w:footnoteReference w:id="2"/>
      </w:r>
      <w:r>
        <w:t>. What both thinkers share is a refusal to treat markets as morally neutral machinery, insisting instead that every price carries a judgement about trust, labour, and time. This article proceeds from that same conviction, treating the capital market as a philosophical object before it is treated as a trading venue, and it examines how securities, interest rates, commodities, central banks, and currencies interlock across territories. It closes with a practical doctrine for conduct, distinguishing the narrow discipline of trading from the patient discipline of investing, and it argues throughout that contrarian restraint serves the investor better than any appetite for the crowd.</w:t>
      </w:r>
    </w:p>
    <w:p w14:paraId="09B01435" w14:textId="77777777" w:rsidR="007A0AA1" w:rsidRDefault="00000000">
      <w:pPr>
        <w:spacing w:before="360" w:after="200"/>
      </w:pPr>
      <w:r>
        <w:rPr>
          <w:b/>
          <w:bCs/>
          <w:sz w:val="26"/>
          <w:szCs w:val="26"/>
        </w:rPr>
        <w:t>2. The Universal Logic of Capital Markets: A Philosophical Premise</w:t>
      </w:r>
    </w:p>
    <w:p w14:paraId="4303DA91" w14:textId="77777777" w:rsidR="007A0AA1" w:rsidRDefault="00000000">
      <w:pPr>
        <w:spacing w:after="200" w:line="360" w:lineRule="auto"/>
        <w:jc w:val="both"/>
      </w:pPr>
      <w:r>
        <w:t xml:space="preserve">A capital market functions as a mechanism for pricing time, risk, and trust simultaneously, and this triple function is why its logic is universal even where its regulations differ from one jurisdiction to another. Time is priced through interest, risk is priced through the spread between a certain and an uncertain return, and trust is priced through the premium or discount a public grants to an institution's promises. Irving Fisher argued that interest is the market's judgement on the impatience of present consumption weighed against the </w:t>
      </w:r>
      <w:r>
        <w:lastRenderedPageBreak/>
        <w:t>opportunity of future consumption, a judgement made daily by investors who never meet one another</w:t>
      </w:r>
      <w:r>
        <w:rPr>
          <w:rStyle w:val="FootnoteReference"/>
        </w:rPr>
        <w:footnoteReference w:id="3"/>
      </w:r>
      <w:r>
        <w:t xml:space="preserve">. John Maynard Keynes added that expectation, not calculation alone, moves capital, since investors act on </w:t>
      </w:r>
      <w:r>
        <w:rPr>
          <w:i/>
          <w:iCs/>
        </w:rPr>
        <w:t>animal spirits</w:t>
      </w:r>
      <w:r>
        <w:t>, a phrase describing the spontaneous confidence that survives even when a full rational accounting is impossible</w:t>
      </w:r>
      <w:r>
        <w:rPr>
          <w:rStyle w:val="FootnoteReference"/>
        </w:rPr>
        <w:footnoteReference w:id="4"/>
      </w:r>
      <w:r>
        <w:t xml:space="preserve">. The Latin adage </w:t>
      </w:r>
      <w:r>
        <w:rPr>
          <w:i/>
          <w:iCs/>
        </w:rPr>
        <w:t>fortis fortuna adiuvat</w:t>
      </w:r>
      <w:r>
        <w:t xml:space="preserve">, fortune favours the bold, captures one half of market psychology, and its quieter counterpart, </w:t>
      </w:r>
      <w:r>
        <w:rPr>
          <w:i/>
          <w:iCs/>
        </w:rPr>
        <w:t>festina lente</w:t>
      </w:r>
      <w:r>
        <w:t xml:space="preserve">, make haste slowly, captures the discipline that keeps boldness from becoming ruin. Benjamin Graham distilled this same duality into the image of </w:t>
      </w:r>
      <w:r>
        <w:rPr>
          <w:i/>
          <w:iCs/>
        </w:rPr>
        <w:t>Mr. Market</w:t>
      </w:r>
      <w:r>
        <w:t>, an emotional business partner who offers a price every day, sometimes generous and sometimes fearful, and who must never be obeyed simply because he is loud</w:t>
      </w:r>
      <w:r>
        <w:rPr>
          <w:rStyle w:val="FootnoteReference"/>
        </w:rPr>
        <w:footnoteReference w:id="5"/>
      </w:r>
      <w:r>
        <w:t xml:space="preserve">. A market is never a single mechanical price generator, and it is better described as a permanent negotiation among strangers who never sign a common contract yet honour prices as though they had. This negotiation is possible only because law, custom, and institution supply what personal acquaintance cannot, converting the ancient trust of the marketplace, the </w:t>
      </w:r>
      <w:r>
        <w:rPr>
          <w:i/>
          <w:iCs/>
        </w:rPr>
        <w:t>agora</w:t>
      </w:r>
      <w:r>
        <w:t>, into an abstract trust in reporting standards, clearing houses, and courts. Max Weber observed that the rational pursuit of gain, organised through calculable law and disciplined conduct, became the distinguishing feature of modern capitalism, setting it apart from the opportunistic gain-seeking of earlier ages</w:t>
      </w:r>
      <w:r>
        <w:rPr>
          <w:rStyle w:val="FootnoteReference"/>
        </w:rPr>
        <w:footnoteReference w:id="6"/>
      </w:r>
      <w:r>
        <w:t>. The philosophy of the capital market is, in this sense, a philosophy of promises kept at a distance, and every clause discussed in the remainder of this article, from securities to dividends, is a variation on that single theme.</w:t>
      </w:r>
    </w:p>
    <w:p w14:paraId="05E4D80D" w14:textId="77777777" w:rsidR="007A0AA1" w:rsidRDefault="00000000">
      <w:pPr>
        <w:spacing w:before="360" w:after="200"/>
      </w:pPr>
      <w:r>
        <w:rPr>
          <w:b/>
          <w:bCs/>
          <w:sz w:val="26"/>
          <w:szCs w:val="26"/>
        </w:rPr>
        <w:t>3. Securities as a Bridge: Foreign Investors and Domestic Confidence</w:t>
      </w:r>
    </w:p>
    <w:p w14:paraId="3741295D" w14:textId="77777777" w:rsidR="007A0AA1" w:rsidRDefault="00000000">
      <w:pPr>
        <w:spacing w:after="200" w:line="360" w:lineRule="auto"/>
        <w:jc w:val="both"/>
      </w:pPr>
      <w:r>
        <w:t xml:space="preserve">A security is, before anything else, a portable promise, a paper or digital claim that allows a stranger residing thousands of kilometres away to hold an interest in a factory, a bank, or a plantation he will never personally inspect. This portability allows foreign capital to reach a </w:t>
      </w:r>
      <w:r>
        <w:lastRenderedPageBreak/>
        <w:t>developing economy without requiring the foreign investor to relocate, to learn the local language, or to negotiate directly with a factory owner in Surabaya or Cikarang. Eugene Fama's efficient market hypothesis proposed that prices already reflect available information, and while later scholarship has qualified that claim considerably, its enduring value lies in reminding market participants that a price is a public verdict, not a private secret</w:t>
      </w:r>
      <w:r>
        <w:rPr>
          <w:rStyle w:val="FootnoteReference"/>
        </w:rPr>
        <w:footnoteReference w:id="7"/>
      </w:r>
      <w:r>
        <w:t xml:space="preserve">. A foreign investor purchasing shares on an emerging exchange is, in effect, purchasing a verdict on the credibility of that nation's courts, accounting standards, and central bank, since none of those institutions can be inspected personally from abroad. The Latin phrase </w:t>
      </w:r>
      <w:r>
        <w:rPr>
          <w:i/>
          <w:iCs/>
        </w:rPr>
        <w:t>fides servanda est</w:t>
      </w:r>
      <w:r>
        <w:t>, faith must be kept, describes precisely what a listed company sells alongside its shares, since a prospectus is a covenant and a quarterly report is its renewal. Robert Shiller's work on behavioural finance showed that this faith is never purely rational, and that narratives, herd behaviour, and social contagion move capital across borders just as forcefully as balance sheets do</w:t>
      </w:r>
      <w:r>
        <w:rPr>
          <w:rStyle w:val="FootnoteReference"/>
        </w:rPr>
        <w:footnoteReference w:id="8"/>
      </w:r>
      <w:r>
        <w:t>. Securities function as a bridge in two directions simultaneously, carrying foreign savings toward domestic enterprise and carrying domestic performance, whether disciplined or reckless, toward a foreign audience that judges it in real time. When domestic confidence weakens, through political instability, weak law enforcement, or inconsistent policy, the bridge does not collapse instantly, since foreign capital tends to withdraw gradually first through reduced buying before it withdraws abruptly through active selling. A nation's stock exchange becomes a continuous referendum conducted by people who never vote in that nation's elections, and the referendum's currency is price, not ballots. This referendum quality is precisely why a philosophy of capital markets cannot remain a domestic subject, and why any policy touching interest rates, currency, or corporate governance must be read as an address to an audience scattered across many territories at once.</w:t>
      </w:r>
    </w:p>
    <w:p w14:paraId="59DCA8EE" w14:textId="77777777" w:rsidR="007A0AA1" w:rsidRDefault="00000000">
      <w:pPr>
        <w:spacing w:before="360" w:after="200"/>
      </w:pPr>
      <w:r>
        <w:rPr>
          <w:b/>
          <w:bCs/>
          <w:sz w:val="26"/>
          <w:szCs w:val="26"/>
        </w:rPr>
        <w:t>4. Cheap Money from Tokyo: Japanese Interest Rates and the Carry Trade</w:t>
      </w:r>
    </w:p>
    <w:p w14:paraId="01498BA1" w14:textId="77777777" w:rsidR="007A0AA1" w:rsidRDefault="00000000">
      <w:pPr>
        <w:spacing w:after="200" w:line="360" w:lineRule="auto"/>
        <w:jc w:val="both"/>
      </w:pPr>
      <w:r>
        <w:lastRenderedPageBreak/>
        <w:t xml:space="preserve">For several decades, the Bank of Japan has maintained interest rates near or below zero, a policy environment that transformed the yen into what market participants call cheap money, a currency that can be borrowed almost without cost and redeployed elsewhere for a higher return. This condition gave rise to the </w:t>
      </w:r>
      <w:r>
        <w:rPr>
          <w:i/>
          <w:iCs/>
        </w:rPr>
        <w:t>carry trade</w:t>
      </w:r>
      <w:r>
        <w:t>, in which an investor borrows yen at negligible interest, converts the proceeds into a currency offering a higher yield, such as the Indonesian rupiah, the Brazilian real, or the Australian dollar, and profits from the differential. Milton Friedman's monetary framework helps explain the mechanism beneath this behaviour, since he insisted that money is never neutral in the short run, and that a sustained change in monetary conditions in one economy reshapes asset prices in another</w:t>
      </w:r>
      <w:r>
        <w:rPr>
          <w:rStyle w:val="FootnoteReference"/>
        </w:rPr>
        <w:footnoteReference w:id="9"/>
      </w:r>
      <w:r>
        <w:t>. When Japanese rates remain low, global liquidity expands as though a tap had been opened in Tokyo, and that liquidity searches restlessly for yield across emerging capital markets, inflating asset prices well beyond what domestic fundamentals alone would justify. Hyman Minsky's financial instability hypothesis warned that prolonged periods of cheap and abundant credit breed increasingly fragile financing structures, since confidence grows precisely because a crisis has not yet occurred, not because the underlying risk has diminished</w:t>
      </w:r>
      <w:r>
        <w:rPr>
          <w:rStyle w:val="FootnoteReference"/>
        </w:rPr>
        <w:footnoteReference w:id="10"/>
      </w:r>
      <w:r>
        <w:t xml:space="preserve">. The Latin warning </w:t>
      </w:r>
      <w:r>
        <w:rPr>
          <w:i/>
          <w:iCs/>
        </w:rPr>
        <w:t>nihil est ab omni parte beatum</w:t>
      </w:r>
      <w:r>
        <w:t xml:space="preserve">, nothing is blessed in every respect, applies with particular force to the carry trade, since the very cheapness that makes it attractive also stores a reversal risk that activates the instant the Bank of Japan signals a change of course. A sudden strengthening of the yen, or even the credible expectation of one, forces carry traders to unwind their positions simultaneously, selling emerging market assets to repay yen loans, and this synchronised unwinding has repeatedly produced sharp corrections in markets from Jakarta to Johannesburg. Domestic investors in receiving economies frequently mistake this imported liquidity for organic domestic strength, celebrating rising indices without recognising that a portion of the rise was financed by a foreign central bank's policy rather than by improved domestic productivity. A philosophically literate investor treats Japanese monetary policy as a permanent variable in domestic market analysis, understanding that a decision made in Tokyo can move a share </w:t>
      </w:r>
      <w:r>
        <w:lastRenderedPageBreak/>
        <w:t>price in Jakarta more decisively than any announcement made by a local company itself. Cheap money is never free, since its cost is merely deferred, transferred from an interest payment into a volatility payment collected later, often at the moment least convenient for the investor holding the position.</w:t>
      </w:r>
    </w:p>
    <w:p w14:paraId="7D7E58CE" w14:textId="77777777" w:rsidR="007A0AA1" w:rsidRDefault="00000000">
      <w:pPr>
        <w:spacing w:before="360" w:after="200"/>
      </w:pPr>
      <w:r>
        <w:rPr>
          <w:b/>
          <w:bCs/>
          <w:sz w:val="26"/>
          <w:szCs w:val="26"/>
        </w:rPr>
        <w:t>5. Commodities, Currencies, and the Credibility of Central Banks</w:t>
      </w:r>
    </w:p>
    <w:p w14:paraId="7321D550" w14:textId="77777777" w:rsidR="007A0AA1" w:rsidRDefault="00000000">
      <w:pPr>
        <w:spacing w:after="200" w:line="360" w:lineRule="auto"/>
        <w:jc w:val="both"/>
      </w:pPr>
      <w:r>
        <w:t>Commodity prices, currency values, and central bank credibility form a triangle in which movement at any single vertex propagates through the other two, and no serious philosophy of capital markets can treat these three subjects in isolation from one another. Jeffrey Frankel demonstrated that when a central bank lowers real interest rates, holding a commodity becomes relatively more attractive than holding cash, since the opportunity cost of storing an unproductive asset falls, which pushes commodity prices upward even without any change in physical supply or demand</w:t>
      </w:r>
      <w:r>
        <w:rPr>
          <w:rStyle w:val="FootnoteReference"/>
        </w:rPr>
        <w:footnoteReference w:id="11"/>
      </w:r>
      <w:r>
        <w:t>. A nation whose export basket leans heavily on commodities, as Indonesia's does with coal, palm oil, and nickel, experiences its currency and its stock index moving in close correspondence with global commodity cycles that originate far beyond its own borders. When commodity prices rise, export revenue strengthens the current account, the currency appreciates, and confidence in the domestic economy rises correspondingly, producing a virtuous cycle that can feel, mistakenly, like the product of purely domestic policy success. When commodity prices fall, the same mechanism reverses with equal force, and a government whose credibility was quietly borrowed from a favourable commodity cycle discovers the borrowing only once the cycle turns against it. Central bank credibility is the invisible adhesive holding this triangle together, since Ben Bernanke and Mark Gertler showed that monetary policy transmits to the real economy chiefly through the confidence lenders and borrowers place in the central bank's stated commitments, not merely through the mechanical setting of a policy rate</w:t>
      </w:r>
      <w:r>
        <w:rPr>
          <w:rStyle w:val="FootnoteReference"/>
        </w:rPr>
        <w:footnoteReference w:id="12"/>
      </w:r>
      <w:r>
        <w:t xml:space="preserve">. A central bank perceived as independent and consistent earns what economists call credibility, and that credibility allows it to calm a currency during a commodity shock with words alone, </w:t>
      </w:r>
      <w:r>
        <w:lastRenderedPageBreak/>
        <w:t>while a central bank perceived as politically captured must spend actual foreign reserves to achieve the same calming effect. Maurice Obstfeld and Kenneth Rogoff described this constraint through what has become known as the trilemma, showing that a nation cannot simultaneously maintain a fixed exchange rate, free capital movement, and independent monetary policy, and must always sacrifice one of the three</w:t>
      </w:r>
      <w:r>
        <w:rPr>
          <w:rStyle w:val="FootnoteReference"/>
        </w:rPr>
        <w:footnoteReference w:id="13"/>
      </w:r>
      <w:r>
        <w:t xml:space="preserve">. Guillermo Calvo and Carmen Reinhart later documented that many emerging economies claiming a floating currency in fact intervene constantly out of what they termed </w:t>
      </w:r>
      <w:r>
        <w:rPr>
          <w:i/>
          <w:iCs/>
        </w:rPr>
        <w:t>fear of floating</w:t>
      </w:r>
      <w:r>
        <w:t>, a fear rooted precisely in the vulnerability commodity-dependent economies feel toward sudden currency depreciation</w:t>
      </w:r>
      <w:r>
        <w:rPr>
          <w:rStyle w:val="FootnoteReference"/>
        </w:rPr>
        <w:footnoteReference w:id="14"/>
      </w:r>
      <w:r>
        <w:t xml:space="preserve">. The Latin phrase </w:t>
      </w:r>
      <w:r>
        <w:rPr>
          <w:i/>
          <w:iCs/>
        </w:rPr>
        <w:t>quod cito fit, cito perit</w:t>
      </w:r>
      <w:r>
        <w:t>, what is made quickly perishes quickly, describes commodity-driven booms with unusual precision, since wealth generated by a favourable price cycle rather than by durable productivity tends to evaporate at the same speed with which it arrived.</w:t>
      </w:r>
    </w:p>
    <w:p w14:paraId="74015AD1" w14:textId="77777777" w:rsidR="007A0AA1" w:rsidRDefault="00000000">
      <w:pPr>
        <w:spacing w:before="360" w:after="200"/>
      </w:pPr>
      <w:r>
        <w:rPr>
          <w:b/>
          <w:bCs/>
          <w:sz w:val="26"/>
          <w:szCs w:val="26"/>
        </w:rPr>
        <w:t>6. The Anatomy of Capital Flows: Hot Money In, Hot Money Out</w:t>
      </w:r>
    </w:p>
    <w:p w14:paraId="7305EE65" w14:textId="77777777" w:rsidR="007A0AA1" w:rsidRDefault="00000000">
      <w:pPr>
        <w:spacing w:after="200" w:line="360" w:lineRule="auto"/>
        <w:jc w:val="both"/>
      </w:pPr>
      <w:r>
        <w:t xml:space="preserve">Capital enters an economy through several channels simultaneously, including direct investment in factories and infrastructure, portfolio investment in listed securities, and short-term deposits chasing an interest rate differential, and each channel carries a different temperament regarding how quickly it can leave again. Direct investment in a factory is, by its physical nature, slow to enter and slow to exit, while portfolio investment in a listed share can be entered and exited within seconds through a single electronic order. This difference in temperament is why economists distinguish patient capital from what is colloquially known as hot money, a term describing funds that migrate toward whichever jurisdiction offers the most attractive combination of yield, currency stability, and political calm at any given moment. Graciela Kaminsky and Carmen Reinhart's study of twin crises showed that banking fragility and balance-of-payments fragility reinforce one another, since a sudden reversal of capital flows exposes weaknesses in a banking system that had appeared healthy </w:t>
      </w:r>
      <w:r>
        <w:lastRenderedPageBreak/>
        <w:t>only because liquidity had been abundant</w:t>
      </w:r>
      <w:r>
        <w:rPr>
          <w:rStyle w:val="FootnoteReference"/>
        </w:rPr>
        <w:footnoteReference w:id="15"/>
      </w:r>
      <w:r>
        <w:t>. When global conditions favour risk-taking, hot money arrives in an emerging market and bids up both the currency and the stock index together, creating a self-reinforcing narrative of prosperity that domestic commentators frequently attribute entirely to local policy achievement. When global conditions shift toward caution, whether through a rise in developed-market interest rates, a geopolitical shock, or a change in risk appetite unrelated to the receiving economy at all, hot money departs with a speed that can overwhelm a central bank's available reserves. George Soros described this dynamic through his theory of reflexivity, arguing that investor perception does not merely observe economic fundamentals but actively alters them, since capital inflows strengthen a currency and an economy, which then attracts further inflows in a loop that eventually overshoots and reverses violently</w:t>
      </w:r>
      <w:r>
        <w:rPr>
          <w:rStyle w:val="FootnoteReference"/>
        </w:rPr>
        <w:footnoteReference w:id="16"/>
      </w:r>
      <w:r>
        <w:t xml:space="preserve">. The Latin caution </w:t>
      </w:r>
      <w:r>
        <w:rPr>
          <w:i/>
          <w:iCs/>
        </w:rPr>
        <w:t>cave ne cadas</w:t>
      </w:r>
      <w:r>
        <w:t>, take care lest you fall, applies to any nation that begins to treat foreign portfolio inflows as a permanent endowment rather than as a conditional and reversible loan of confidence. Prudent economic management treats capital flow volatility as a structural feature of an open capital market rather than as an occasional anomaly, building reserves and fiscal discipline during the inflow phase precisely because the outflow phase is a statistical certainty rather than a remote possibility. A sober investor reads capital flow data the way a sailor reads a barometer, not to predict the exact moment a storm will arrive, but to understand that fair weather financed partly by foreign hot money always carries an unspoken expiry date.</w:t>
      </w:r>
    </w:p>
    <w:p w14:paraId="45979D3D" w14:textId="77777777" w:rsidR="007A0AA1" w:rsidRDefault="00000000">
      <w:pPr>
        <w:spacing w:before="360" w:after="200"/>
      </w:pPr>
      <w:r>
        <w:rPr>
          <w:b/>
          <w:bCs/>
          <w:sz w:val="26"/>
          <w:szCs w:val="26"/>
        </w:rPr>
        <w:t>7. Dividends as Juridical Proof: The Owner's Rightful Share</w:t>
      </w:r>
    </w:p>
    <w:p w14:paraId="6478136F" w14:textId="77777777" w:rsidR="007A0AA1" w:rsidRDefault="00000000">
      <w:pPr>
        <w:spacing w:after="200" w:line="360" w:lineRule="auto"/>
        <w:jc w:val="both"/>
      </w:pPr>
      <w:r>
        <w:t xml:space="preserve">A dividend is, in its plainest juridical sense, the only mechanism through which a company's profit becomes the shareholder's actual property, since every other figure appearing on a financial statement, however impressive, remains merely a claim on paper until it is distributed. Merton Miller and Franco Modigliani argued that, under idealised conditions of perfect information and no taxation, dividend policy should not affect a firm's value at all, </w:t>
      </w:r>
      <w:r>
        <w:lastRenderedPageBreak/>
        <w:t>since an investor could always manufacture a homemade dividend by selling a portion of shares</w:t>
      </w:r>
      <w:r>
        <w:rPr>
          <w:rStyle w:val="FootnoteReference"/>
        </w:rPr>
        <w:footnoteReference w:id="17"/>
      </w:r>
      <w:r>
        <w:t>. Real markets never meet those idealised conditions, and John Lintner's earlier empirical study found that managers set dividends deliberately and cautiously, treating a stable dividend as a signal of confidence they were reluctant to withdraw once established</w:t>
      </w:r>
      <w:r>
        <w:rPr>
          <w:rStyle w:val="FootnoteReference"/>
        </w:rPr>
        <w:footnoteReference w:id="18"/>
      </w:r>
      <w:r>
        <w:t xml:space="preserve">. This reluctance is precisely why a consistent dividend carries informational weight beyond its arithmetic value, since a management team willing to distribute cash regularly is implicitly certifying, quarter after quarter, that the reported profit is real cash and not merely an accounting construction. The Roman legal maxim </w:t>
      </w:r>
      <w:r>
        <w:rPr>
          <w:i/>
          <w:iCs/>
        </w:rPr>
        <w:t>nemo dat quod non habet</w:t>
      </w:r>
      <w:r>
        <w:t xml:space="preserve">, no one gives what he does not have, applies here with unusual precision, because a company that reports profit yet withholds dividend indefinitely invites the reasonable suspicion that the reported profit was never truly available to give. Where a controlling owner refuses to distribute profit through dividends while simultaneously enjoying inflated procurement contracts, unusually generous executive compensation, or related-party transactions priced above market rate, the absence of dividend stops being a matter of prudent retention and becomes a matter of juridical concern. Company law across most jurisdictions imposes fiduciary duties precisely because minority shareholders cannot inspect a factory floor or an executive expense account personally, and the dividend functions as the most legible, hardest-to-fabricate evidence that a fiduciary duty has actually been honoured. The adage </w:t>
      </w:r>
      <w:r>
        <w:rPr>
          <w:i/>
          <w:iCs/>
        </w:rPr>
        <w:t>res ipsa loquitur</w:t>
      </w:r>
      <w:r>
        <w:t>, the thing speaks for itself, borrowed from the law of evidence, is instructive here, since a pattern of strong reported earnings accompanied by chronic dividend withholding speaks for itself just as loudly as an explicit confession would. An investor practising genuine due diligence treats the dividend not as a bonus but as a form of audit, a recurring test that either confirms or quietly contradicts every other number a company chooses to publish about itself. Where that test is passed consistently, across multiple economic cycles and multiple management teams, the dividend becomes the single most credible piece of evidence available to an outside investor who will never sit in the company's boardroom.</w:t>
      </w:r>
    </w:p>
    <w:p w14:paraId="6D8E8734" w14:textId="77777777" w:rsidR="007A0AA1" w:rsidRDefault="00000000">
      <w:pPr>
        <w:spacing w:before="360" w:after="200"/>
      </w:pPr>
      <w:r>
        <w:rPr>
          <w:b/>
          <w:bCs/>
          <w:sz w:val="26"/>
          <w:szCs w:val="26"/>
        </w:rPr>
        <w:lastRenderedPageBreak/>
        <w:t>8. The Discipline of Trading: One Per Cent and the Requirement of an Uptrend</w:t>
      </w:r>
    </w:p>
    <w:p w14:paraId="0FE5B5BA" w14:textId="77777777" w:rsidR="007A0AA1" w:rsidRDefault="00000000">
      <w:pPr>
        <w:spacing w:after="200" w:line="360" w:lineRule="auto"/>
        <w:jc w:val="both"/>
      </w:pPr>
      <w:r>
        <w:t xml:space="preserve">Trading, understood here as the short-term pursuit of price movement rather than the long-term collection of dividends, is a discipline that rewards precision and punishes overexposure with equal severity, and this asymmetry justifies limiting trading capital to a strict one per cent of total equity. An older market wisdom is embedded in the trader's proverb cut your losses short and let your profits run, a proverb that only functions when the capital placed at risk in any single trade is small enough to survive being wrong repeatedly. A one per cent allocation converts trading from a wager on certainty into a controlled experiment, since even a long sequence of losing trades, however discouraging psychologically, cannot meaningfully damage the investor's total equity if the position size never exceeds this threshold. Trading conducted against the direction of the national index or against the direction of the individual issuer resembles rowing against a current, and even a skilled rower eventually tires while the current does not, which is why trading should be undertaken chiefly when the issuer and the national index are already in an uptrend or are visibly approaching one. The Latin phrase </w:t>
      </w:r>
      <w:r>
        <w:rPr>
          <w:i/>
          <w:iCs/>
        </w:rPr>
        <w:t>tempus omnia revelat</w:t>
      </w:r>
      <w:r>
        <w:t xml:space="preserve">, time reveals all things, is double-edged in this context, since time reveals the trend to a patient observer, and time also reveals the fragility of a trader who insists on fighting a trend that has already declared itself through price and volume. Charles Dow's original theory of market movement rested on the observation that prices move in identifiable primary trends punctuated by secondary corrections, and a trader who aligns activity with the primary trend transforms probability into an ally rather than an adversary. Fighting a confirmed downtrend in the hope of an early reversal is speculation dressed as courage, and the Latin caution </w:t>
      </w:r>
      <w:r>
        <w:rPr>
          <w:i/>
          <w:iCs/>
        </w:rPr>
        <w:t>qui nimium probat nihil probat</w:t>
      </w:r>
      <w:r>
        <w:t xml:space="preserve">, he who proves too much proves nothing, applies neatly to the trader who insists a falling market is secretly a buying opportunity without any confirming evidence beyond personal hope. A one per cent allocation combined with an uptrend requirement performs two protective functions simultaneously, limiting the financial damage of any single misjudgement and limiting the frequency of misjudgement itself by removing the temptation to trade against an already visible current. This restraint is not a claim that </w:t>
      </w:r>
      <w:r>
        <w:lastRenderedPageBreak/>
        <w:t>trading is unworthy of serious attention, and it is a recognition that trading occupies a narrow, high-variance corner of a portfolio that must never be allowed to dictate the fate of the investor's entire capital. An investor who respects this boundary treats trading as a disciplined satellite activity orbiting a much larger and steadier body of long-term holdings, never permitting the satellite's occasional brilliance to distract attention from the gravity that keeps the whole system stable.</w:t>
      </w:r>
    </w:p>
    <w:p w14:paraId="7A796055" w14:textId="77777777" w:rsidR="007A0AA1" w:rsidRDefault="00000000">
      <w:pPr>
        <w:spacing w:before="360" w:after="200"/>
      </w:pPr>
      <w:r>
        <w:rPr>
          <w:b/>
          <w:bCs/>
          <w:sz w:val="26"/>
          <w:szCs w:val="26"/>
        </w:rPr>
        <w:t>9. The Discipline of Investing: Ninety-Nine Per Cent, Dividend Yield, and the Contrarian Discount</w:t>
      </w:r>
    </w:p>
    <w:p w14:paraId="1D718CD3" w14:textId="77777777" w:rsidR="007A0AA1" w:rsidRDefault="00000000">
      <w:pPr>
        <w:spacing w:after="200" w:line="360" w:lineRule="auto"/>
        <w:jc w:val="both"/>
      </w:pPr>
      <w:r>
        <w:t>Investing, distinguished here from trading, commits the overwhelming majority, ninety-nine per cent, of an investor's total equity to holdings selected for durable income and priced with a margin of safety rather than for short-term momentum, a distinction Benjamin Graham and David Dodd established when they separated genuine investment from speculation disguised as investment</w:t>
      </w:r>
      <w:r>
        <w:rPr>
          <w:rStyle w:val="FootnoteReference"/>
        </w:rPr>
        <w:footnoteReference w:id="19"/>
      </w:r>
      <w:r>
        <w:t xml:space="preserve">. The specific criterion proposed here for that ninety-nine per cent allocation is a company offering a dividend yield above seven per cent annually while its share price sits at its lowest point across the preceding six to twelve months, provided that low price reflects a market inefficiency rather than any genuine deterioration in the company's operations or reputation. This is a deliberately narrow criterion, since a low price accompanied by declining revenue, mounting debt, governance scandal, or credible fraud allegations is an accurate market judgement rather than an inefficiency, and no dividend yield, however attractive on paper, compensates for buying into a genuinely deteriorating enterprise. Where the low price instead reflects indiscriminate sector-wide selling, temporary macroeconomic panic, an overreaction to a single disappointing quarter, or simple neglect by a market preoccupied with more fashionable issuers, the situation matches precisely what Graham described as </w:t>
      </w:r>
      <w:r>
        <w:rPr>
          <w:i/>
          <w:iCs/>
        </w:rPr>
        <w:t>Mr. Market</w:t>
      </w:r>
      <w:r>
        <w:t xml:space="preserve"> offering a foolish price out of transient fear rather than considered judgement</w:t>
      </w:r>
      <w:r>
        <w:rPr>
          <w:rStyle w:val="FootnoteReference"/>
        </w:rPr>
        <w:footnoteReference w:id="20"/>
      </w:r>
      <w:r>
        <w:t xml:space="preserve">. The Latin adage </w:t>
      </w:r>
      <w:r>
        <w:rPr>
          <w:i/>
          <w:iCs/>
        </w:rPr>
        <w:t>sero venientibus ossa</w:t>
      </w:r>
      <w:r>
        <w:t xml:space="preserve">, to those who come late go only the bones, captures why buying during depressed prices </w:t>
      </w:r>
      <w:r>
        <w:lastRenderedPageBreak/>
        <w:t>rather than during a rally already crowded with attention matters, since the investor who waits for confirmation from a rising price has already surrendered the discount to those who arrived earlier. Robert Shiller's cyclically adjusted valuation work reinforces the same conclusion from a different angle, since he showed that markets systematically overreact in both directions, and that valuations detached from long-term earnings power in a depressed direction have historically offered more favourable long-term outcomes than valuations detached in an inflated direction</w:t>
      </w:r>
      <w:r>
        <w:rPr>
          <w:rStyle w:val="FootnoteReference"/>
        </w:rPr>
        <w:footnoteReference w:id="21"/>
      </w:r>
      <w:r>
        <w:t xml:space="preserve">. Dividends collected during the holding period function, in the vocabulary proposed here, as </w:t>
      </w:r>
      <w:r>
        <w:rPr>
          <w:i/>
          <w:iCs/>
        </w:rPr>
        <w:t>uang tunggu</w:t>
      </w:r>
      <w:r>
        <w:t xml:space="preserve">, waiting money, compensation the investor receives simply for the patience of remaining a shareholder while the market's inefficiency corrects itself over time. Capital gain, once that correction finally occurs, functions as the reward for </w:t>
      </w:r>
      <w:r>
        <w:rPr>
          <w:i/>
          <w:iCs/>
        </w:rPr>
        <w:t>kesabaran</w:t>
      </w:r>
      <w:r>
        <w:t xml:space="preserve">, patience, a reward that arrives not because the investor predicted a precise date of recovery but because the investor tolerated the discomfort of holding an unfashionable position while others abandoned it. Warren Buffett's frequently cited counsel to be fearful when others are greedy and greedy when others are fearful is, philosophically, a modern restatement of the same contrarian instinct already present in Graham's </w:t>
      </w:r>
      <w:r>
        <w:rPr>
          <w:i/>
          <w:iCs/>
        </w:rPr>
        <w:t>Mr. Market</w:t>
      </w:r>
      <w:r>
        <w:t>, converting market pessimism from a threat into raw material for future return</w:t>
      </w:r>
      <w:r>
        <w:rPr>
          <w:rStyle w:val="FootnoteReference"/>
        </w:rPr>
        <w:footnoteReference w:id="22"/>
      </w:r>
      <w:r>
        <w:t>. A ninety-nine per cent allocation built on this criterion asks the investor to treat a falling share price, absent any genuine deterioration, as an invitation to be evaluated calmly rather than as evidence to be feared, since the dividend yield rises mathematically precisely when the price falls, rewarding exactly the patience the strategy demands.</w:t>
      </w:r>
    </w:p>
    <w:p w14:paraId="28343C5E" w14:textId="77777777" w:rsidR="007A0AA1" w:rsidRDefault="00000000">
      <w:pPr>
        <w:spacing w:before="360" w:after="200"/>
      </w:pPr>
      <w:r>
        <w:rPr>
          <w:b/>
          <w:bCs/>
          <w:sz w:val="26"/>
          <w:szCs w:val="26"/>
        </w:rPr>
        <w:t>10. Against Fomo: The Virtue of Contrarian Restraint</w:t>
      </w:r>
    </w:p>
    <w:p w14:paraId="76FCA116" w14:textId="77777777" w:rsidR="007A0AA1" w:rsidRDefault="00000000">
      <w:pPr>
        <w:spacing w:after="200" w:line="360" w:lineRule="auto"/>
        <w:jc w:val="both"/>
      </w:pPr>
      <w:r>
        <w:t xml:space="preserve">Fear of missing out, commonly abbreviated as </w:t>
      </w:r>
      <w:r>
        <w:rPr>
          <w:i/>
          <w:iCs/>
        </w:rPr>
        <w:t>fomo</w:t>
      </w:r>
      <w:r>
        <w:t xml:space="preserve">, describes the emotional contagion that drives a person to buy an asset chiefly because its price has already risen and other people are visibly excited about it, and this article treats </w:t>
      </w:r>
      <w:r>
        <w:rPr>
          <w:i/>
          <w:iCs/>
        </w:rPr>
        <w:t>fomo</w:t>
      </w:r>
      <w:r>
        <w:t xml:space="preserve"> as the single most reliable destroyer of long-term investment capital. Charles Mackay's nineteenth-century chronicle of popular delusions and speculative manias documented tulip prices, joint-stock bubbles, and mining </w:t>
      </w:r>
      <w:r>
        <w:lastRenderedPageBreak/>
        <w:t xml:space="preserve">crazes that all shared one feature, a crowd convincing itself that a price rising because others were buying was sufficient reason to keep buying, without any independent reassessment of underlying value. The Latin proverb </w:t>
      </w:r>
      <w:r>
        <w:rPr>
          <w:i/>
          <w:iCs/>
        </w:rPr>
        <w:t>vulgus vult decipi</w:t>
      </w:r>
      <w:r>
        <w:t xml:space="preserve">, the crowd wishes to be deceived, is uncomfortable precisely because it is accurate, since a rising price flatters a buyer's judgement temporarily, making scepticism feel foolish exactly at the moment scepticism is most needed. The insistence on buying during a price correction rather than during a price surge is a philosophical stance against the psychological current that </w:t>
      </w:r>
      <w:r>
        <w:rPr>
          <w:i/>
          <w:iCs/>
        </w:rPr>
        <w:t>fomo</w:t>
      </w:r>
      <w:r>
        <w:t xml:space="preserve"> represents, a deliberate choice to feel uncomfortable early rather than to feel devastated late. Contrarian conduct is difficult precisely because it requires an investor to act against visible social proof, buying an issuer that colleagues, financial media, and online forums are simultaneously ignoring or ridiculing, and few dispositions require more discipline than remaining calm while surrounded by confident voices saying the opposite. John Templeton captured this discomfort directly when he observed that the moment of maximum pessimism is the best time to buy and the moment of maximum optimism is the best time to sell, a formulation that places contrarian timing at the very centre of durable investment success</w:t>
      </w:r>
      <w:r>
        <w:rPr>
          <w:rStyle w:val="FootnoteReference"/>
        </w:rPr>
        <w:footnoteReference w:id="23"/>
      </w:r>
      <w:r>
        <w:t xml:space="preserve">. A market correction unaccompanied by any genuine deterioration in a company's earnings power should be read by a disciplined investor as a discount rather than as a warning, since price and value are permitted by every serious theory of finance to diverge temporarily even while they remain bound together over the long run. The Latin maxim </w:t>
      </w:r>
      <w:r>
        <w:rPr>
          <w:i/>
          <w:iCs/>
        </w:rPr>
        <w:t>audaces fortuna iuvat</w:t>
      </w:r>
      <w:r>
        <w:t xml:space="preserve">, fortune favours the bold, must be read alongside </w:t>
      </w:r>
      <w:r>
        <w:rPr>
          <w:i/>
          <w:iCs/>
        </w:rPr>
        <w:t>sapiens dominabitur astris</w:t>
      </w:r>
      <w:r>
        <w:t xml:space="preserve">, the wise person shall rule the stars, since boldness without independent judgement is merely </w:t>
      </w:r>
      <w:r>
        <w:rPr>
          <w:i/>
          <w:iCs/>
        </w:rPr>
        <w:t>fomo</w:t>
      </w:r>
      <w:r>
        <w:t xml:space="preserve"> relabelled, while boldness grounded in patient analysis is the contrarian discipline recommended here. An investor who internalises this distinction stops asking whether a price is rising and begins asking instead whether a price is justified, a shift in questioning that alone separates a durable long-term investor from a perpetual latecomer to every cycle. Restraint exercised during euphoria and courage exercised during despair are, in the end, the same underlying virtue viewed from two directions, and cultivating that single virtue is </w:t>
      </w:r>
      <w:r>
        <w:lastRenderedPageBreak/>
        <w:t>worth more to an investor's long-term wealth than any single piece of technical analysis this article could otherwise supply.</w:t>
      </w:r>
    </w:p>
    <w:p w14:paraId="54BCB902" w14:textId="77777777" w:rsidR="007A0AA1" w:rsidRDefault="00000000">
      <w:pPr>
        <w:spacing w:before="360" w:after="200"/>
      </w:pPr>
      <w:r>
        <w:rPr>
          <w:b/>
          <w:bCs/>
          <w:sz w:val="26"/>
          <w:szCs w:val="26"/>
        </w:rPr>
        <w:t>11. Conclusion</w:t>
      </w:r>
    </w:p>
    <w:p w14:paraId="671270D8" w14:textId="77777777" w:rsidR="007A0AA1" w:rsidRDefault="00000000">
      <w:pPr>
        <w:spacing w:after="200" w:line="360" w:lineRule="auto"/>
        <w:jc w:val="both"/>
      </w:pPr>
      <w:r>
        <w:t xml:space="preserve">The capital market, examined philosophically rather than merely technically, reveals itself as a continuous negotiation of trust conducted among strangers scattered across many territories, none of whom will ever meet, and all of whom nevertheless depend upon shared institutions, shared law, and shared conventions of disclosure. Securities function as the bridge across which foreign confidence reaches domestic enterprise, Japanese monetary policy functions as a persistent source of borrowed liquidity, commodity prices and currency values move in a triangle anchored by central bank credibility, and capital flows arrive and depart according to a rhythm no single nation fully controls. Dividends remain the clearest juridical evidence available to an outside shareholder that a company's reported prosperity has actually reached its rightful owners rather than being diverted through inflated procurement, excessive compensation, or unexplained operational cost. A disciplined investor separates the narrow, high-variance activity of trading, confined to one per cent of total equity and undertaken chiefly during a confirmed uptrend, from the patient, dominant activity of investing, committed at ninety-nine per cent of total equity toward high-yielding issuers whose prices have fallen through market inefficiency rather than genuine decline. Dividends collected along the way serve as waiting money, sustaining the investor through the discomfort of an unfashionable position, and capital gain, once it eventually arrives, serves as the reward reserved specifically for patience rather than for prediction. Every recommendation offered in this article ultimately opposes </w:t>
      </w:r>
      <w:r>
        <w:rPr>
          <w:i/>
          <w:iCs/>
        </w:rPr>
        <w:t>fomo</w:t>
      </w:r>
      <w:r>
        <w:t xml:space="preserve"> and favours contrarian composure, since the crowd's enthusiasm has repeatedly proven, across centuries of documented manias and corrections, to be a poor substitute for independent judgement. The Latin adages threaded throughout this discussion, from </w:t>
      </w:r>
      <w:r>
        <w:rPr>
          <w:i/>
          <w:iCs/>
        </w:rPr>
        <w:t>pecunia non olet</w:t>
      </w:r>
      <w:r>
        <w:t xml:space="preserve"> to </w:t>
      </w:r>
      <w:r>
        <w:rPr>
          <w:i/>
          <w:iCs/>
        </w:rPr>
        <w:t>sero venientibus ossa</w:t>
      </w:r>
      <w:r>
        <w:t xml:space="preserve">, are not decorative antiquities, and they persist in economic vocabulary precisely because the psychological patterns they describe have never actually changed across two millennia of commerce. What has changed is only the speed of transmission, </w:t>
      </w:r>
      <w:r>
        <w:lastRenderedPageBreak/>
        <w:t>since a decision made in Tokyo or Washington now reaches Jakarta within milliseconds rather than months, compressing the philosophical lessons of Aristotle, Smith, Keynes, and Graham into a market rhythm none of them personally witnessed. A universal philosophy of capital markets holds two truths simultaneously without contradiction, that markets are ancient in their psychology and instantaneous in their mechanics, and that the investor who respects both truths, keeping trading small and disciplined while keeping investing patient and contrarian, stands the best chance of converting the market's structural volatility into durable personal wealth. Legal accountability through dividends, monetary literacy regarding foreign interest rates, and psychological composure against herd behaviour together form the tripod on which any serious, cross-territorial investment philosophy must finally rest.</w:t>
      </w:r>
    </w:p>
    <w:p w14:paraId="497FF69E" w14:textId="77777777" w:rsidR="007A0AA1" w:rsidRDefault="00000000">
      <w:pPr>
        <w:spacing w:before="360" w:after="200"/>
      </w:pPr>
      <w:r>
        <w:rPr>
          <w:b/>
          <w:bCs/>
          <w:sz w:val="26"/>
          <w:szCs w:val="26"/>
        </w:rPr>
        <w:t>References</w:t>
      </w:r>
    </w:p>
    <w:p w14:paraId="4D24F7AB" w14:textId="77777777" w:rsidR="007A0AA1" w:rsidRDefault="00000000">
      <w:pPr>
        <w:spacing w:after="160" w:line="300" w:lineRule="auto"/>
        <w:ind w:left="720" w:hanging="720"/>
        <w:jc w:val="both"/>
      </w:pPr>
      <w:r>
        <w:t>Aristotle (1992) The Politics. Translated by T.A. Sinclair. London: Penguin Classics.</w:t>
      </w:r>
    </w:p>
    <w:p w14:paraId="1E3E4705" w14:textId="77777777" w:rsidR="007A0AA1" w:rsidRDefault="00000000">
      <w:pPr>
        <w:spacing w:after="160" w:line="300" w:lineRule="auto"/>
        <w:ind w:left="720" w:hanging="720"/>
        <w:jc w:val="both"/>
      </w:pPr>
      <w:r>
        <w:t>Bernanke, B.S. and Gertler, M. (1995) 'Inside the Black Box: The Credit Channel of Monetary Policy Transmission', Journal of Economic Perspectives, 9(4), pp. 27–48. DOI: https://doi.org/10.1257/jep.9.4.27</w:t>
      </w:r>
    </w:p>
    <w:p w14:paraId="563753DF" w14:textId="77777777" w:rsidR="007A0AA1" w:rsidRDefault="00000000">
      <w:pPr>
        <w:spacing w:after="160" w:line="300" w:lineRule="auto"/>
        <w:ind w:left="720" w:hanging="720"/>
        <w:jc w:val="both"/>
      </w:pPr>
      <w:r>
        <w:t>Buffett, W.E. (2008) Berkshire Hathaway Chairman's Letter to Shareholders. Omaha: Berkshire Hathaway Inc.</w:t>
      </w:r>
    </w:p>
    <w:p w14:paraId="23996FAD" w14:textId="77777777" w:rsidR="007A0AA1" w:rsidRDefault="00000000">
      <w:pPr>
        <w:spacing w:after="160" w:line="300" w:lineRule="auto"/>
        <w:ind w:left="720" w:hanging="720"/>
        <w:jc w:val="both"/>
      </w:pPr>
      <w:r>
        <w:t>Calvo, G.A. and Reinhart, C.M. (2002) 'Fear of Floating', Quarterly Journal of Economics, 117(2), pp. 379–408. DOI: https://doi.org/10.1162/003355302753650274</w:t>
      </w:r>
    </w:p>
    <w:p w14:paraId="505DF545" w14:textId="77777777" w:rsidR="007A0AA1" w:rsidRDefault="00000000">
      <w:pPr>
        <w:spacing w:after="160" w:line="300" w:lineRule="auto"/>
        <w:ind w:left="720" w:hanging="720"/>
        <w:jc w:val="both"/>
      </w:pPr>
      <w:r>
        <w:t>Dow, C.H. (1901) Editorials, The Wall Street Journal. Reprinted in Rhea, R. (1932) The Dow Theory. New York: Barron's.</w:t>
      </w:r>
    </w:p>
    <w:p w14:paraId="3F974576" w14:textId="77777777" w:rsidR="007A0AA1" w:rsidRDefault="00000000">
      <w:pPr>
        <w:spacing w:after="160" w:line="300" w:lineRule="auto"/>
        <w:ind w:left="720" w:hanging="720"/>
        <w:jc w:val="both"/>
      </w:pPr>
      <w:r>
        <w:t>Fama, E.F. (1970) 'Efficient Capital Markets: A Review of Theory and Empirical Work', Journal of Finance, 25(2), pp. 383–417. DOI: https://doi.org/10.2307/2325486</w:t>
      </w:r>
    </w:p>
    <w:p w14:paraId="2950A133" w14:textId="77777777" w:rsidR="007A0AA1" w:rsidRDefault="00000000">
      <w:pPr>
        <w:spacing w:after="160" w:line="300" w:lineRule="auto"/>
        <w:ind w:left="720" w:hanging="720"/>
        <w:jc w:val="both"/>
      </w:pPr>
      <w:r>
        <w:t>Fisher, I. (1930) The Theory of Interest. New York: Macmillan.</w:t>
      </w:r>
    </w:p>
    <w:p w14:paraId="1544F97F" w14:textId="77777777" w:rsidR="007A0AA1" w:rsidRDefault="00000000">
      <w:pPr>
        <w:spacing w:after="160" w:line="300" w:lineRule="auto"/>
        <w:ind w:left="720" w:hanging="720"/>
        <w:jc w:val="both"/>
      </w:pPr>
      <w:r>
        <w:t>Frankel, J.A. (2008) 'The Effect of Monetary Policy on Real Commodity Prices', in Campbell, J.Y. (ed.) Asset Prices and Monetary Policy. Chicago: University of Chicago Press, pp. 291–333. DOI: https://doi.org/10.3386/w12713</w:t>
      </w:r>
    </w:p>
    <w:p w14:paraId="12243A0E" w14:textId="77777777" w:rsidR="007A0AA1" w:rsidRDefault="00000000">
      <w:pPr>
        <w:spacing w:after="160" w:line="300" w:lineRule="auto"/>
        <w:ind w:left="720" w:hanging="720"/>
        <w:jc w:val="both"/>
      </w:pPr>
      <w:r>
        <w:lastRenderedPageBreak/>
        <w:t>Friedman, M. and Schwartz, A.J. (1963) A Monetary History of the United States, 1867–1960. Princeton: Princeton University Press.</w:t>
      </w:r>
    </w:p>
    <w:p w14:paraId="12D3F86A" w14:textId="77777777" w:rsidR="007A0AA1" w:rsidRDefault="00000000">
      <w:pPr>
        <w:spacing w:after="160" w:line="300" w:lineRule="auto"/>
        <w:ind w:left="720" w:hanging="720"/>
        <w:jc w:val="both"/>
      </w:pPr>
      <w:r>
        <w:t>Graham, B. (1949) The Intelligent Investor. New York: Harper &amp; Brothers.</w:t>
      </w:r>
    </w:p>
    <w:p w14:paraId="68EDBF5D" w14:textId="77777777" w:rsidR="007A0AA1" w:rsidRDefault="00000000">
      <w:pPr>
        <w:spacing w:after="160" w:line="300" w:lineRule="auto"/>
        <w:ind w:left="720" w:hanging="720"/>
        <w:jc w:val="both"/>
      </w:pPr>
      <w:r>
        <w:t>Graham, B. and Dodd, D. (1934) Security Analysis. New York: McGraw-Hill.</w:t>
      </w:r>
    </w:p>
    <w:p w14:paraId="03D35038" w14:textId="77777777" w:rsidR="007A0AA1" w:rsidRDefault="00000000">
      <w:pPr>
        <w:spacing w:after="160" w:line="300" w:lineRule="auto"/>
        <w:ind w:left="720" w:hanging="720"/>
        <w:jc w:val="both"/>
      </w:pPr>
      <w:r>
        <w:t>Kaminsky, G.L. and Reinhart, C.M. (1999) 'The Twin Crises: The Causes of Banking and Balance-of-Payments Problems', American Economic Review, 89(3), pp. 473–500. DOI: https://doi.org/10.1257/aer.89.3.473</w:t>
      </w:r>
    </w:p>
    <w:p w14:paraId="5CB92A5E" w14:textId="77777777" w:rsidR="007A0AA1" w:rsidRDefault="00000000">
      <w:pPr>
        <w:spacing w:after="160" w:line="300" w:lineRule="auto"/>
        <w:ind w:left="720" w:hanging="720"/>
        <w:jc w:val="both"/>
      </w:pPr>
      <w:r>
        <w:t>Keynes, J.M. (1936) The General Theory of Employment, Interest and Money. London: Macmillan.</w:t>
      </w:r>
    </w:p>
    <w:p w14:paraId="469B3090" w14:textId="77777777" w:rsidR="007A0AA1" w:rsidRDefault="00000000">
      <w:pPr>
        <w:spacing w:after="160" w:line="300" w:lineRule="auto"/>
        <w:ind w:left="720" w:hanging="720"/>
        <w:jc w:val="both"/>
      </w:pPr>
      <w:r>
        <w:t>Lintner, J. (1956) 'Distribution of Incomes of Corporations among Dividends, Retained Earnings, and Taxes', American Economic Review, 46(2), pp. 97–113. DOI: https://doi.org/10.2307/1910664</w:t>
      </w:r>
    </w:p>
    <w:p w14:paraId="4AA2EB0A" w14:textId="77777777" w:rsidR="007A0AA1" w:rsidRDefault="00000000">
      <w:pPr>
        <w:spacing w:after="160" w:line="300" w:lineRule="auto"/>
        <w:ind w:left="720" w:hanging="720"/>
        <w:jc w:val="both"/>
      </w:pPr>
      <w:r>
        <w:t>Mackay, C. (1841) Extraordinary Popular Delusions and the Madness of Crowds. London: Richard Bentley.</w:t>
      </w:r>
    </w:p>
    <w:p w14:paraId="671FB998" w14:textId="77777777" w:rsidR="007A0AA1" w:rsidRDefault="00000000">
      <w:pPr>
        <w:spacing w:after="160" w:line="300" w:lineRule="auto"/>
        <w:ind w:left="720" w:hanging="720"/>
        <w:jc w:val="both"/>
      </w:pPr>
      <w:r>
        <w:t>Miller, M.H. and Modigliani, F. (1961) 'Dividend Policy, Growth, and the Valuation of Shares', Journal of Business, 34(4), pp. 411–433. DOI: https://doi.org/10.1086/294442</w:t>
      </w:r>
    </w:p>
    <w:p w14:paraId="471FE9B0" w14:textId="77777777" w:rsidR="007A0AA1" w:rsidRDefault="00000000">
      <w:pPr>
        <w:spacing w:after="160" w:line="300" w:lineRule="auto"/>
        <w:ind w:left="720" w:hanging="720"/>
        <w:jc w:val="both"/>
      </w:pPr>
      <w:r>
        <w:t>Minsky, H.P. (1977) 'The Financial Instability Hypothesis: An Interpretation of Keynes and an Alternative to "Standard" Theory', Nebraska Journal of Economics and Business, 16(1), pp. 5–16.</w:t>
      </w:r>
    </w:p>
    <w:p w14:paraId="2E54ED3D" w14:textId="77777777" w:rsidR="007A0AA1" w:rsidRDefault="00000000">
      <w:pPr>
        <w:spacing w:after="160" w:line="300" w:lineRule="auto"/>
        <w:ind w:left="720" w:hanging="720"/>
        <w:jc w:val="both"/>
      </w:pPr>
      <w:r>
        <w:t>Obstfeld, M. and Rogoff, K. (1995) 'The Mirage of Fixed Exchange Rates', Journal of Economic Perspectives, 9(4), pp. 73–96. DOI: https://doi.org/10.1257/jep.9.4.73</w:t>
      </w:r>
    </w:p>
    <w:p w14:paraId="0B1E1102" w14:textId="77777777" w:rsidR="007A0AA1" w:rsidRDefault="00000000">
      <w:pPr>
        <w:spacing w:after="160" w:line="300" w:lineRule="auto"/>
        <w:ind w:left="720" w:hanging="720"/>
        <w:jc w:val="both"/>
      </w:pPr>
      <w:r>
        <w:t>Shiller, R.J. (2000) Irrational Exuberance. Princeton: Princeton University Press.</w:t>
      </w:r>
    </w:p>
    <w:p w14:paraId="1B7F3705" w14:textId="77777777" w:rsidR="007A0AA1" w:rsidRDefault="00000000">
      <w:pPr>
        <w:spacing w:after="160" w:line="300" w:lineRule="auto"/>
        <w:ind w:left="720" w:hanging="720"/>
        <w:jc w:val="both"/>
      </w:pPr>
      <w:r>
        <w:t>Shiller, R.J. (2003) 'From Efficient Markets Theory to Behavioral Finance', Journal of Economic Perspectives, 17(1), pp. 83–104. DOI: https://doi.org/10.1257/089533003321164967</w:t>
      </w:r>
    </w:p>
    <w:p w14:paraId="7A6E849E" w14:textId="77777777" w:rsidR="007A0AA1" w:rsidRDefault="00000000">
      <w:pPr>
        <w:spacing w:after="160" w:line="300" w:lineRule="auto"/>
        <w:ind w:left="720" w:hanging="720"/>
        <w:jc w:val="both"/>
      </w:pPr>
      <w:r>
        <w:t>Smith, A. (1776) An Inquiry into the Nature and Causes of the Wealth of Nations. London: W. Strahan and T. Cadell.</w:t>
      </w:r>
    </w:p>
    <w:p w14:paraId="7CE29E60" w14:textId="77777777" w:rsidR="007A0AA1" w:rsidRDefault="00000000">
      <w:pPr>
        <w:spacing w:after="160" w:line="300" w:lineRule="auto"/>
        <w:ind w:left="720" w:hanging="720"/>
        <w:jc w:val="both"/>
      </w:pPr>
      <w:r>
        <w:t>Soros, G. (1987) The Alchemy of Finance. New York: Simon &amp; Schuster.</w:t>
      </w:r>
    </w:p>
    <w:p w14:paraId="1CE2C82E" w14:textId="77777777" w:rsidR="007A0AA1" w:rsidRDefault="00000000">
      <w:pPr>
        <w:spacing w:after="160" w:line="300" w:lineRule="auto"/>
        <w:ind w:left="720" w:hanging="720"/>
        <w:jc w:val="both"/>
      </w:pPr>
      <w:r>
        <w:lastRenderedPageBreak/>
        <w:t>Templeton, J. (1994) Sixteen Rules for Investment Success. San Mateo: Templeton, Galbraith &amp; Hansberger.</w:t>
      </w:r>
    </w:p>
    <w:p w14:paraId="43265790" w14:textId="77777777" w:rsidR="007A0AA1" w:rsidRDefault="00000000">
      <w:pPr>
        <w:spacing w:after="160" w:line="300" w:lineRule="auto"/>
        <w:ind w:left="720" w:hanging="720"/>
        <w:jc w:val="both"/>
      </w:pPr>
      <w:r>
        <w:t>Weber, M. (1930) The Protestant Ethic and the Spirit of Capitalism. Translated by T. Parsons. London: Allen &amp; Unwin.</w:t>
      </w:r>
    </w:p>
    <w:sectPr w:rsidR="007A0AA1" w:rsidSect="001A28AA">
      <w:headerReference w:type="even" r:id="rId7"/>
      <w:headerReference w:type="default" r:id="rId8"/>
      <w:footerReference w:type="even" r:id="rId9"/>
      <w:footerReference w:type="default" r:id="rId10"/>
      <w:headerReference w:type="first" r:id="rId11"/>
      <w:footerReference w:type="first" r:id="rId12"/>
      <w:pgSz w:w="11906" w:h="16838"/>
      <w:pgMar w:top="3685"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A86E" w14:textId="77777777" w:rsidR="000F5806" w:rsidRDefault="000F5806">
      <w:r>
        <w:separator/>
      </w:r>
    </w:p>
  </w:endnote>
  <w:endnote w:type="continuationSeparator" w:id="0">
    <w:p w14:paraId="0FEA2057" w14:textId="77777777" w:rsidR="000F5806" w:rsidRDefault="000F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Noto Sans Syriac Western"/>
    <w:panose1 w:val="02040502050405020303"/>
    <w:charset w:val="00"/>
    <w:family w:val="roman"/>
    <w:pitch w:val="default"/>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2710116"/>
      <w:docPartObj>
        <w:docPartGallery w:val="Page Numbers (Bottom of Page)"/>
        <w:docPartUnique/>
      </w:docPartObj>
    </w:sdtPr>
    <w:sdtContent>
      <w:p w14:paraId="1F79FD64" w14:textId="1B547689" w:rsidR="00813EDF" w:rsidRDefault="00813EDF" w:rsidP="002F3A8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A34F86" w14:textId="77777777" w:rsidR="00204FBF" w:rsidRDefault="00204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4458439"/>
      <w:docPartObj>
        <w:docPartGallery w:val="Page Numbers (Bottom of Page)"/>
        <w:docPartUnique/>
      </w:docPartObj>
    </w:sdtPr>
    <w:sdtContent>
      <w:p w14:paraId="37E45B45" w14:textId="170D6B51" w:rsidR="00813EDF" w:rsidRDefault="00813EDF" w:rsidP="002F3A8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7A9D7E" w14:textId="77777777" w:rsidR="00204FBF" w:rsidRDefault="00204F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03C8" w14:textId="77777777" w:rsidR="00C72322" w:rsidRDefault="00C72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E6175" w14:textId="77777777" w:rsidR="000F5806" w:rsidRDefault="000F5806">
      <w:r>
        <w:separator/>
      </w:r>
    </w:p>
  </w:footnote>
  <w:footnote w:type="continuationSeparator" w:id="0">
    <w:p w14:paraId="65BA3798" w14:textId="77777777" w:rsidR="000F5806" w:rsidRDefault="000F5806">
      <w:r>
        <w:continuationSeparator/>
      </w:r>
    </w:p>
  </w:footnote>
  <w:footnote w:id="1">
    <w:p w14:paraId="04722F2C" w14:textId="77777777" w:rsidR="007A0AA1" w:rsidRDefault="00000000">
      <w:r>
        <w:rPr>
          <w:rStyle w:val="FootnoteReference"/>
        </w:rPr>
        <w:footnoteRef/>
      </w:r>
      <w:r>
        <w:rPr>
          <w:sz w:val="20"/>
          <w:szCs w:val="20"/>
        </w:rPr>
        <w:t>Aristotle (1992) The Politics, Book I.</w:t>
      </w:r>
    </w:p>
  </w:footnote>
  <w:footnote w:id="2">
    <w:p w14:paraId="2B8850C0" w14:textId="77777777" w:rsidR="007A0AA1" w:rsidRDefault="00000000">
      <w:r>
        <w:rPr>
          <w:rStyle w:val="FootnoteReference"/>
        </w:rPr>
        <w:footnoteRef/>
      </w:r>
      <w:r>
        <w:rPr>
          <w:sz w:val="20"/>
          <w:szCs w:val="20"/>
        </w:rPr>
        <w:t>Smith, A. (1776) An Inquiry into the Nature and Causes of the Wealth of Nations, Book I.</w:t>
      </w:r>
    </w:p>
  </w:footnote>
  <w:footnote w:id="3">
    <w:p w14:paraId="278E9E35" w14:textId="77777777" w:rsidR="007A0AA1" w:rsidRDefault="00000000">
      <w:r>
        <w:rPr>
          <w:rStyle w:val="FootnoteReference"/>
        </w:rPr>
        <w:footnoteRef/>
      </w:r>
      <w:r>
        <w:rPr>
          <w:sz w:val="20"/>
          <w:szCs w:val="20"/>
        </w:rPr>
        <w:t>Fisher, I. (1930) The Theory of Interest, Chapter IV.</w:t>
      </w:r>
    </w:p>
  </w:footnote>
  <w:footnote w:id="4">
    <w:p w14:paraId="25582388" w14:textId="77777777" w:rsidR="007A0AA1" w:rsidRDefault="00000000">
      <w:r>
        <w:rPr>
          <w:rStyle w:val="FootnoteReference"/>
        </w:rPr>
        <w:footnoteRef/>
      </w:r>
      <w:r>
        <w:rPr>
          <w:sz w:val="20"/>
          <w:szCs w:val="20"/>
        </w:rPr>
        <w:t>Keynes, J.M. (1936) The General Theory of Employment, Interest and Money, Chapter 12.</w:t>
      </w:r>
    </w:p>
  </w:footnote>
  <w:footnote w:id="5">
    <w:p w14:paraId="4157EECC" w14:textId="77777777" w:rsidR="007A0AA1" w:rsidRDefault="00000000">
      <w:r>
        <w:rPr>
          <w:rStyle w:val="FootnoteReference"/>
        </w:rPr>
        <w:footnoteRef/>
      </w:r>
      <w:r>
        <w:rPr>
          <w:sz w:val="20"/>
          <w:szCs w:val="20"/>
        </w:rPr>
        <w:t>Graham, B. (1949) The Intelligent Investor, Chapter 8, 'The Investor and Market Fluctuations'.</w:t>
      </w:r>
    </w:p>
  </w:footnote>
  <w:footnote w:id="6">
    <w:p w14:paraId="6570F281" w14:textId="77777777" w:rsidR="007A0AA1" w:rsidRDefault="00000000">
      <w:r>
        <w:rPr>
          <w:rStyle w:val="FootnoteReference"/>
        </w:rPr>
        <w:footnoteRef/>
      </w:r>
      <w:r>
        <w:rPr>
          <w:sz w:val="20"/>
          <w:szCs w:val="20"/>
        </w:rPr>
        <w:t>Weber, M. (1930) The Protestant Ethic and the Spirit of Capitalism, Chapter II.</w:t>
      </w:r>
    </w:p>
  </w:footnote>
  <w:footnote w:id="7">
    <w:p w14:paraId="39143C5E" w14:textId="77777777" w:rsidR="007A0AA1" w:rsidRDefault="00000000">
      <w:r>
        <w:rPr>
          <w:rStyle w:val="FootnoteReference"/>
        </w:rPr>
        <w:footnoteRef/>
      </w:r>
      <w:r>
        <w:rPr>
          <w:sz w:val="20"/>
          <w:szCs w:val="20"/>
        </w:rPr>
        <w:t>Fama, E.F. (1970) Journal of Finance, 25(2), pp. 383–417.</w:t>
      </w:r>
    </w:p>
  </w:footnote>
  <w:footnote w:id="8">
    <w:p w14:paraId="585CC581" w14:textId="77777777" w:rsidR="007A0AA1" w:rsidRDefault="00000000">
      <w:r>
        <w:rPr>
          <w:rStyle w:val="FootnoteReference"/>
        </w:rPr>
        <w:footnoteRef/>
      </w:r>
      <w:r>
        <w:rPr>
          <w:sz w:val="20"/>
          <w:szCs w:val="20"/>
        </w:rPr>
        <w:t>Shiller, R.J. (2003) Journal of Economic Perspectives, 17(1), pp. 83–104.</w:t>
      </w:r>
    </w:p>
  </w:footnote>
  <w:footnote w:id="9">
    <w:p w14:paraId="7A11BA28" w14:textId="77777777" w:rsidR="007A0AA1" w:rsidRDefault="00000000">
      <w:r>
        <w:rPr>
          <w:rStyle w:val="FootnoteReference"/>
        </w:rPr>
        <w:footnoteRef/>
      </w:r>
      <w:r>
        <w:rPr>
          <w:sz w:val="20"/>
          <w:szCs w:val="20"/>
        </w:rPr>
        <w:t>Friedman, M. and Schwartz, A.J. (1963) A Monetary History of the United States, 1867–1960.</w:t>
      </w:r>
    </w:p>
  </w:footnote>
  <w:footnote w:id="10">
    <w:p w14:paraId="151F77A3" w14:textId="77777777" w:rsidR="007A0AA1" w:rsidRDefault="00000000">
      <w:r>
        <w:rPr>
          <w:rStyle w:val="FootnoteReference"/>
        </w:rPr>
        <w:footnoteRef/>
      </w:r>
      <w:r>
        <w:rPr>
          <w:sz w:val="20"/>
          <w:szCs w:val="20"/>
        </w:rPr>
        <w:t>Minsky, H.P. (1977) Nebraska Journal of Economics and Business, 16(1), pp. 5–16.</w:t>
      </w:r>
    </w:p>
  </w:footnote>
  <w:footnote w:id="11">
    <w:p w14:paraId="733D594A" w14:textId="77777777" w:rsidR="007A0AA1" w:rsidRDefault="00000000">
      <w:r>
        <w:rPr>
          <w:rStyle w:val="FootnoteReference"/>
        </w:rPr>
        <w:footnoteRef/>
      </w:r>
      <w:r>
        <w:rPr>
          <w:sz w:val="20"/>
          <w:szCs w:val="20"/>
        </w:rPr>
        <w:t>Frankel, J.A. (2008) in Campbell, J.Y. (ed.) Asset Prices and Monetary Policy, pp. 291–333.</w:t>
      </w:r>
    </w:p>
  </w:footnote>
  <w:footnote w:id="12">
    <w:p w14:paraId="13976B1D" w14:textId="77777777" w:rsidR="007A0AA1" w:rsidRDefault="00000000">
      <w:r>
        <w:rPr>
          <w:rStyle w:val="FootnoteReference"/>
        </w:rPr>
        <w:footnoteRef/>
      </w:r>
      <w:r>
        <w:rPr>
          <w:sz w:val="20"/>
          <w:szCs w:val="20"/>
        </w:rPr>
        <w:t>Bernanke, B.S. and Gertler, M. (1995) Journal of Economic Perspectives, 9(4), pp. 27–48.</w:t>
      </w:r>
    </w:p>
  </w:footnote>
  <w:footnote w:id="13">
    <w:p w14:paraId="32F4FB59" w14:textId="77777777" w:rsidR="007A0AA1" w:rsidRDefault="00000000">
      <w:r>
        <w:rPr>
          <w:rStyle w:val="FootnoteReference"/>
        </w:rPr>
        <w:footnoteRef/>
      </w:r>
      <w:r>
        <w:rPr>
          <w:sz w:val="20"/>
          <w:szCs w:val="20"/>
        </w:rPr>
        <w:t>Obstfeld, M. and Rogoff, K. (1995) Journal of Economic Perspectives, 9(4), pp. 73–96.</w:t>
      </w:r>
    </w:p>
  </w:footnote>
  <w:footnote w:id="14">
    <w:p w14:paraId="7B5B4791" w14:textId="77777777" w:rsidR="007A0AA1" w:rsidRDefault="00000000">
      <w:r>
        <w:rPr>
          <w:rStyle w:val="FootnoteReference"/>
        </w:rPr>
        <w:footnoteRef/>
      </w:r>
      <w:r>
        <w:rPr>
          <w:sz w:val="20"/>
          <w:szCs w:val="20"/>
        </w:rPr>
        <w:t>Calvo, G.A. and Reinhart, C.M. (2002) Quarterly Journal of Economics, 117(2), pp. 379–408.</w:t>
      </w:r>
    </w:p>
  </w:footnote>
  <w:footnote w:id="15">
    <w:p w14:paraId="77D57564" w14:textId="77777777" w:rsidR="007A0AA1" w:rsidRDefault="00000000">
      <w:r>
        <w:rPr>
          <w:rStyle w:val="FootnoteReference"/>
        </w:rPr>
        <w:footnoteRef/>
      </w:r>
      <w:r>
        <w:rPr>
          <w:sz w:val="20"/>
          <w:szCs w:val="20"/>
        </w:rPr>
        <w:t>Kaminsky, G.L. and Reinhart, C.M. (1999) American Economic Review, 89(3), pp. 473–500.</w:t>
      </w:r>
    </w:p>
  </w:footnote>
  <w:footnote w:id="16">
    <w:p w14:paraId="530576F0" w14:textId="77777777" w:rsidR="007A0AA1" w:rsidRDefault="00000000">
      <w:r>
        <w:rPr>
          <w:rStyle w:val="FootnoteReference"/>
        </w:rPr>
        <w:footnoteRef/>
      </w:r>
      <w:r>
        <w:rPr>
          <w:sz w:val="20"/>
          <w:szCs w:val="20"/>
        </w:rPr>
        <w:t>Soros, G. (1987) The Alchemy of Finance, Introduction and Chapter 1.</w:t>
      </w:r>
    </w:p>
  </w:footnote>
  <w:footnote w:id="17">
    <w:p w14:paraId="13B0A789" w14:textId="77777777" w:rsidR="007A0AA1" w:rsidRDefault="00000000">
      <w:r>
        <w:rPr>
          <w:rStyle w:val="FootnoteReference"/>
        </w:rPr>
        <w:footnoteRef/>
      </w:r>
      <w:r>
        <w:rPr>
          <w:sz w:val="20"/>
          <w:szCs w:val="20"/>
        </w:rPr>
        <w:t>Miller, M.H. and Modigliani, F. (1961) Journal of Business, 34(4), pp. 411–433.</w:t>
      </w:r>
    </w:p>
  </w:footnote>
  <w:footnote w:id="18">
    <w:p w14:paraId="7B17FE25" w14:textId="77777777" w:rsidR="007A0AA1" w:rsidRDefault="00000000">
      <w:r>
        <w:rPr>
          <w:rStyle w:val="FootnoteReference"/>
        </w:rPr>
        <w:footnoteRef/>
      </w:r>
      <w:r>
        <w:rPr>
          <w:sz w:val="20"/>
          <w:szCs w:val="20"/>
        </w:rPr>
        <w:t>Lintner, J. (1956) American Economic Review, 46(2), pp. 97–113.</w:t>
      </w:r>
    </w:p>
  </w:footnote>
  <w:footnote w:id="19">
    <w:p w14:paraId="627DC74D" w14:textId="77777777" w:rsidR="007A0AA1" w:rsidRDefault="00000000">
      <w:r>
        <w:rPr>
          <w:rStyle w:val="FootnoteReference"/>
        </w:rPr>
        <w:footnoteRef/>
      </w:r>
      <w:r>
        <w:rPr>
          <w:sz w:val="20"/>
          <w:szCs w:val="20"/>
        </w:rPr>
        <w:t>Graham, B. and Dodd, D. (1934) Security Analysis, Chapter 1.</w:t>
      </w:r>
    </w:p>
  </w:footnote>
  <w:footnote w:id="20">
    <w:p w14:paraId="0E53CA8A" w14:textId="77777777" w:rsidR="007A0AA1" w:rsidRDefault="00000000">
      <w:r>
        <w:rPr>
          <w:rStyle w:val="FootnoteReference"/>
        </w:rPr>
        <w:footnoteRef/>
      </w:r>
      <w:r>
        <w:rPr>
          <w:sz w:val="20"/>
          <w:szCs w:val="20"/>
        </w:rPr>
        <w:t>Graham, B. (1949) The Intelligent Investor, Chapter 8.</w:t>
      </w:r>
    </w:p>
  </w:footnote>
  <w:footnote w:id="21">
    <w:p w14:paraId="3F8DC362" w14:textId="77777777" w:rsidR="007A0AA1" w:rsidRDefault="00000000">
      <w:r>
        <w:rPr>
          <w:rStyle w:val="FootnoteReference"/>
        </w:rPr>
        <w:footnoteRef/>
      </w:r>
      <w:r>
        <w:rPr>
          <w:sz w:val="20"/>
          <w:szCs w:val="20"/>
        </w:rPr>
        <w:t>Shiller, R.J. (2000) Irrational Exuberance, Chapter 11.</w:t>
      </w:r>
    </w:p>
  </w:footnote>
  <w:footnote w:id="22">
    <w:p w14:paraId="3C8D69BB" w14:textId="77777777" w:rsidR="007A0AA1" w:rsidRDefault="00000000">
      <w:r>
        <w:rPr>
          <w:rStyle w:val="FootnoteReference"/>
        </w:rPr>
        <w:footnoteRef/>
      </w:r>
      <w:r>
        <w:rPr>
          <w:sz w:val="20"/>
          <w:szCs w:val="20"/>
        </w:rPr>
        <w:t>Buffett, W.E. (2008) Berkshire Hathaway Chairman's Letter to Shareholders.</w:t>
      </w:r>
    </w:p>
  </w:footnote>
  <w:footnote w:id="23">
    <w:p w14:paraId="181E10B0" w14:textId="77777777" w:rsidR="007A0AA1" w:rsidRDefault="00000000">
      <w:r>
        <w:rPr>
          <w:rStyle w:val="FootnoteReference"/>
        </w:rPr>
        <w:footnoteRef/>
      </w:r>
      <w:r>
        <w:rPr>
          <w:sz w:val="20"/>
          <w:szCs w:val="20"/>
        </w:rPr>
        <w:t>Templeton, J. (1994) Sixteen Rules for Investment Success, Rule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6935" w14:textId="77777777" w:rsidR="00C72322" w:rsidRDefault="00C72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E2FC" w14:textId="4DF23A97" w:rsidR="005A446B" w:rsidRDefault="00C72322">
    <w:pPr>
      <w:pStyle w:val="Header"/>
    </w:pPr>
    <w:r>
      <w:rPr>
        <w:noProof/>
      </w:rPr>
      <mc:AlternateContent>
        <mc:Choice Requires="wps">
          <w:drawing>
            <wp:anchor distT="45720" distB="45720" distL="114300" distR="114300" simplePos="0" relativeHeight="251660288" behindDoc="0" locked="0" layoutInCell="1" allowOverlap="1" wp14:anchorId="60BE8C18" wp14:editId="0173ABC0">
              <wp:simplePos x="0" y="0"/>
              <wp:positionH relativeFrom="column">
                <wp:posOffset>-228600</wp:posOffset>
              </wp:positionH>
              <wp:positionV relativeFrom="paragraph">
                <wp:posOffset>302895</wp:posOffset>
              </wp:positionV>
              <wp:extent cx="2584450" cy="553720"/>
              <wp:effectExtent l="0" t="0" r="0" b="0"/>
              <wp:wrapSquare wrapText="bothSides"/>
              <wp:docPr id="385526726" name="Text Box 2"/>
              <wp:cNvGraphicFramePr/>
              <a:graphic xmlns:a="http://schemas.openxmlformats.org/drawingml/2006/main">
                <a:graphicData uri="http://schemas.microsoft.com/office/word/2010/wordprocessingShape">
                  <wps:wsp>
                    <wps:cNvSpPr txBox="1"/>
                    <wps:spPr>
                      <a:xfrm>
                        <a:off x="0" y="0"/>
                        <a:ext cx="2584450" cy="553720"/>
                      </a:xfrm>
                      <a:prstGeom prst="rect">
                        <a:avLst/>
                      </a:prstGeom>
                      <a:noFill/>
                      <a:ln w="6350">
                        <a:noFill/>
                      </a:ln>
                    </wps:spPr>
                    <wps:txbx>
                      <w:txbxContent>
                        <w:p w14:paraId="28E3977D" w14:textId="6060ED12" w:rsidR="009852D5" w:rsidRPr="00703B08" w:rsidRDefault="009852D5" w:rsidP="00BC2E5C">
                          <w:pPr>
                            <w:jc w:val="center"/>
                            <w:rPr>
                              <w:b/>
                              <w:bCs/>
                              <w:color w:val="0E2841" w:themeColor="text2"/>
                            </w:rPr>
                          </w:pPr>
                          <w:r w:rsidRPr="00703B08">
                            <w:rPr>
                              <w:rFonts w:ascii="Times New Roman" w:hAnsi="Times New Roman"/>
                              <w:b/>
                              <w:bCs/>
                              <w:color w:val="0E2841" w:themeColor="text2"/>
                            </w:rPr>
                            <w:t>Volume 1 Issue 1, pp. 1-1</w:t>
                          </w:r>
                          <w:r w:rsidR="002B39AD" w:rsidRPr="00703B08">
                            <w:rPr>
                              <w:rFonts w:ascii="Times New Roman" w:hAnsi="Times New Roman"/>
                              <w:b/>
                              <w:bCs/>
                              <w:color w:val="0E2841" w:themeColor="text2"/>
                            </w:rPr>
                            <w:t>7</w:t>
                          </w:r>
                        </w:p>
                        <w:p w14:paraId="4C248974" w14:textId="41C475AF" w:rsidR="00C72322" w:rsidRPr="00703B08" w:rsidRDefault="00EB768E" w:rsidP="00BC2E5C">
                          <w:pPr>
                            <w:jc w:val="center"/>
                            <w:rPr>
                              <w:b/>
                              <w:bCs/>
                              <w:color w:val="0E2841" w:themeColor="text2"/>
                            </w:rPr>
                          </w:pPr>
                          <w:r w:rsidRPr="00703B08">
                            <w:rPr>
                              <w:b/>
                              <w:bCs/>
                              <w:color w:val="0E2841" w:themeColor="text2"/>
                            </w:rPr>
                            <w:t>https://research.tyotjuan.com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E8C18" id="_x0000_t202" coordsize="21600,21600" o:spt="202" path="m,l,21600r21600,l21600,xe">
              <v:stroke joinstyle="miter"/>
              <v:path gradientshapeok="t" o:connecttype="rect"/>
            </v:shapetype>
            <v:shape id="Text Box 2" o:spid="_x0000_s1026" type="#_x0000_t202" style="position:absolute;margin-left:-18pt;margin-top:23.85pt;width:203.5pt;height:4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" filled="f" stroked="f" strokeweight=".5pt">
              <v:textbox>
                <w:txbxContent>
                  <w:p w14:paraId="28E3977D" w14:textId="6060ED12" w:rsidR="009852D5" w:rsidRPr="00703B08" w:rsidRDefault="009852D5" w:rsidP="00BC2E5C">
                    <w:pPr>
                      <w:jc w:val="center"/>
                      <w:rPr>
                        <w:b/>
                        <w:bCs/>
                        <w:color w:val="0E2841" w:themeColor="text2"/>
                      </w:rPr>
                    </w:pPr>
                    <w:r w:rsidRPr="00703B08">
                      <w:rPr>
                        <w:rFonts w:ascii="Times New Roman" w:hAnsi="Times New Roman"/>
                        <w:b/>
                        <w:bCs/>
                        <w:color w:val="0E2841" w:themeColor="text2"/>
                      </w:rPr>
                      <w:t>Volume 1 Issue 1, pp. 1-1</w:t>
                    </w:r>
                    <w:r w:rsidR="002B39AD" w:rsidRPr="00703B08">
                      <w:rPr>
                        <w:rFonts w:ascii="Times New Roman" w:hAnsi="Times New Roman"/>
                        <w:b/>
                        <w:bCs/>
                        <w:color w:val="0E2841" w:themeColor="text2"/>
                      </w:rPr>
                      <w:t>7</w:t>
                    </w:r>
                  </w:p>
                  <w:p w14:paraId="4C248974" w14:textId="41C475AF" w:rsidR="00C72322" w:rsidRPr="00703B08" w:rsidRDefault="00EB768E" w:rsidP="00BC2E5C">
                    <w:pPr>
                      <w:jc w:val="center"/>
                      <w:rPr>
                        <w:b/>
                        <w:bCs/>
                        <w:color w:val="0E2841" w:themeColor="text2"/>
                      </w:rPr>
                    </w:pPr>
                    <w:r w:rsidRPr="00703B08">
                      <w:rPr>
                        <w:b/>
                        <w:bCs/>
                        <w:color w:val="0E2841" w:themeColor="text2"/>
                      </w:rPr>
                      <w:t>https://research.tyotjuan.com</w:t>
                    </w:r>
                  </w:p>
                </w:txbxContent>
              </v:textbox>
              <w10:wrap type="square"/>
            </v:shape>
          </w:pict>
        </mc:Fallback>
      </mc:AlternateContent>
    </w:r>
    <w:r w:rsidR="005A446B">
      <w:rPr>
        <w:noProof/>
      </w:rPr>
      <w:drawing>
        <wp:anchor distT="0" distB="0" distL="114300" distR="114300" simplePos="0" relativeHeight="251659264" behindDoc="1" locked="0" layoutInCell="1" allowOverlap="1" wp14:anchorId="66A51B01" wp14:editId="47D797EF">
          <wp:simplePos x="0" y="0"/>
          <wp:positionH relativeFrom="column">
            <wp:posOffset>-760095</wp:posOffset>
          </wp:positionH>
          <wp:positionV relativeFrom="paragraph">
            <wp:posOffset>-427990</wp:posOffset>
          </wp:positionV>
          <wp:extent cx="7733030" cy="10816590"/>
          <wp:effectExtent l="0" t="0" r="1270" b="3810"/>
          <wp:wrapNone/>
          <wp:docPr id="791210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10053" name="Picture 791210053"/>
                  <pic:cNvPicPr/>
                </pic:nvPicPr>
                <pic:blipFill>
                  <a:blip r:embed="rId1">
                    <a:extLst>
                      <a:ext uri="{28A0092B-C50C-407E-A947-70E740481C1C}">
                        <a14:useLocalDpi xmlns:a14="http://schemas.microsoft.com/office/drawing/2010/main" val="0"/>
                      </a:ext>
                    </a:extLst>
                  </a:blip>
                  <a:stretch>
                    <a:fillRect/>
                  </a:stretch>
                </pic:blipFill>
                <pic:spPr>
                  <a:xfrm>
                    <a:off x="0" y="0"/>
                    <a:ext cx="7733030" cy="108165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D5000" w14:textId="77777777" w:rsidR="00C72322" w:rsidRDefault="00C72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51F9"/>
    <w:multiLevelType w:val="hybridMultilevel"/>
    <w:tmpl w:val="FFFFFFFF"/>
    <w:lvl w:ilvl="0" w:tplc="271CBA78">
      <w:start w:val="1"/>
      <w:numFmt w:val="bullet"/>
      <w:lvlText w:val="●"/>
      <w:lvlJc w:val="left"/>
      <w:pPr>
        <w:ind w:left="720" w:hanging="360"/>
      </w:pPr>
    </w:lvl>
    <w:lvl w:ilvl="1" w:tplc="2A2E78BA">
      <w:start w:val="1"/>
      <w:numFmt w:val="bullet"/>
      <w:lvlText w:val="○"/>
      <w:lvlJc w:val="left"/>
      <w:pPr>
        <w:ind w:left="1440" w:hanging="360"/>
      </w:pPr>
    </w:lvl>
    <w:lvl w:ilvl="2" w:tplc="F10CEEA6">
      <w:start w:val="1"/>
      <w:numFmt w:val="bullet"/>
      <w:lvlText w:val="■"/>
      <w:lvlJc w:val="left"/>
      <w:pPr>
        <w:ind w:left="2160" w:hanging="360"/>
      </w:pPr>
    </w:lvl>
    <w:lvl w:ilvl="3" w:tplc="11BA8C74">
      <w:start w:val="1"/>
      <w:numFmt w:val="bullet"/>
      <w:lvlText w:val="●"/>
      <w:lvlJc w:val="left"/>
      <w:pPr>
        <w:ind w:left="2880" w:hanging="360"/>
      </w:pPr>
    </w:lvl>
    <w:lvl w:ilvl="4" w:tplc="B4EEACBA">
      <w:start w:val="1"/>
      <w:numFmt w:val="bullet"/>
      <w:lvlText w:val="○"/>
      <w:lvlJc w:val="left"/>
      <w:pPr>
        <w:ind w:left="3600" w:hanging="360"/>
      </w:pPr>
    </w:lvl>
    <w:lvl w:ilvl="5" w:tplc="EA264432">
      <w:start w:val="1"/>
      <w:numFmt w:val="bullet"/>
      <w:lvlText w:val="■"/>
      <w:lvlJc w:val="left"/>
      <w:pPr>
        <w:ind w:left="4320" w:hanging="360"/>
      </w:pPr>
    </w:lvl>
    <w:lvl w:ilvl="6" w:tplc="9334CD32">
      <w:start w:val="1"/>
      <w:numFmt w:val="bullet"/>
      <w:lvlText w:val="●"/>
      <w:lvlJc w:val="left"/>
      <w:pPr>
        <w:ind w:left="5040" w:hanging="360"/>
      </w:pPr>
    </w:lvl>
    <w:lvl w:ilvl="7" w:tplc="B4BC1E66">
      <w:start w:val="1"/>
      <w:numFmt w:val="bullet"/>
      <w:lvlText w:val="●"/>
      <w:lvlJc w:val="left"/>
      <w:pPr>
        <w:ind w:left="5760" w:hanging="360"/>
      </w:pPr>
    </w:lvl>
    <w:lvl w:ilvl="8" w:tplc="6EB45842">
      <w:start w:val="1"/>
      <w:numFmt w:val="bullet"/>
      <w:lvlText w:val="●"/>
      <w:lvlJc w:val="left"/>
      <w:pPr>
        <w:ind w:left="6480" w:hanging="360"/>
      </w:pPr>
    </w:lvl>
  </w:abstractNum>
  <w:num w:numId="1" w16cid:durableId="798915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A1"/>
    <w:rsid w:val="00006AE0"/>
    <w:rsid w:val="000F5806"/>
    <w:rsid w:val="00144285"/>
    <w:rsid w:val="00170D51"/>
    <w:rsid w:val="00194FB6"/>
    <w:rsid w:val="001A0DC1"/>
    <w:rsid w:val="001A28AA"/>
    <w:rsid w:val="001B3ACB"/>
    <w:rsid w:val="00204FBF"/>
    <w:rsid w:val="00233F84"/>
    <w:rsid w:val="00253901"/>
    <w:rsid w:val="002B39AD"/>
    <w:rsid w:val="002E083B"/>
    <w:rsid w:val="003100C7"/>
    <w:rsid w:val="00346A9E"/>
    <w:rsid w:val="003A5ED8"/>
    <w:rsid w:val="00576701"/>
    <w:rsid w:val="005A446B"/>
    <w:rsid w:val="00600BA9"/>
    <w:rsid w:val="00703B08"/>
    <w:rsid w:val="00724A72"/>
    <w:rsid w:val="007506BB"/>
    <w:rsid w:val="007874A4"/>
    <w:rsid w:val="007A0AA1"/>
    <w:rsid w:val="007B0B2A"/>
    <w:rsid w:val="00813EDF"/>
    <w:rsid w:val="00826CC6"/>
    <w:rsid w:val="00836149"/>
    <w:rsid w:val="00926340"/>
    <w:rsid w:val="009852D5"/>
    <w:rsid w:val="00A87708"/>
    <w:rsid w:val="00A955D2"/>
    <w:rsid w:val="00B7095C"/>
    <w:rsid w:val="00BB0462"/>
    <w:rsid w:val="00BC2200"/>
    <w:rsid w:val="00BC2E5C"/>
    <w:rsid w:val="00C21A1A"/>
    <w:rsid w:val="00C72322"/>
    <w:rsid w:val="00C73595"/>
    <w:rsid w:val="00C875B2"/>
    <w:rsid w:val="00CA3259"/>
    <w:rsid w:val="00D27FA5"/>
    <w:rsid w:val="00E20C0B"/>
    <w:rsid w:val="00E27184"/>
    <w:rsid w:val="00EB768E"/>
    <w:rsid w:val="00EC7295"/>
    <w:rsid w:val="00EE3220"/>
    <w:rsid w:val="00FC7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15D3B6"/>
  <w15:docId w15:val="{5B7A563D-EEFE-E749-BD8B-9E402C4C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04FBF"/>
    <w:pPr>
      <w:tabs>
        <w:tab w:val="center" w:pos="4513"/>
        <w:tab w:val="right" w:pos="9026"/>
      </w:tabs>
    </w:pPr>
  </w:style>
  <w:style w:type="character" w:customStyle="1" w:styleId="HeaderChar">
    <w:name w:val="Header Char"/>
    <w:basedOn w:val="DefaultParagraphFont"/>
    <w:link w:val="Header"/>
    <w:uiPriority w:val="99"/>
    <w:rsid w:val="00204FBF"/>
  </w:style>
  <w:style w:type="paragraph" w:styleId="Footer">
    <w:name w:val="footer"/>
    <w:basedOn w:val="Normal"/>
    <w:link w:val="FooterChar"/>
    <w:uiPriority w:val="99"/>
    <w:unhideWhenUsed/>
    <w:rsid w:val="00204FBF"/>
    <w:pPr>
      <w:tabs>
        <w:tab w:val="center" w:pos="4513"/>
        <w:tab w:val="right" w:pos="9026"/>
      </w:tabs>
    </w:pPr>
  </w:style>
  <w:style w:type="character" w:customStyle="1" w:styleId="FooterChar">
    <w:name w:val="Footer Char"/>
    <w:basedOn w:val="DefaultParagraphFont"/>
    <w:link w:val="Footer"/>
    <w:uiPriority w:val="99"/>
    <w:rsid w:val="00204FBF"/>
  </w:style>
  <w:style w:type="character" w:styleId="PageNumber">
    <w:name w:val="page number"/>
    <w:basedOn w:val="DefaultParagraphFont"/>
    <w:uiPriority w:val="99"/>
    <w:semiHidden/>
    <w:unhideWhenUsed/>
    <w:rsid w:val="00813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5427</Words>
  <Characters>30935</Characters>
  <Application>Microsoft Office Word</Application>
  <DocSecurity>0</DocSecurity>
  <Lines>257</Lines>
  <Paragraphs>72</Paragraphs>
  <ScaleCrop>false</ScaleCrop>
  <Company/>
  <LinksUpToDate>false</LinksUpToDate>
  <CharactersWithSpaces>36290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Eko Logos</cp:lastModifiedBy>
  <cp:revision>22</cp:revision>
  <dcterms:created xsi:type="dcterms:W3CDTF">2026-09-10T01:39:00Z</dcterms:created>
  <dcterms:modified xsi:type="dcterms:W3CDTF">2026-09-10T01:52:00Z</dcterms:modified>
</cp:coreProperties>
</file>